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EB3" w:rsidRPr="00DA47DB" w:rsidRDefault="00827EB3" w:rsidP="00D915DE">
      <w:pPr>
        <w:autoSpaceDE w:val="0"/>
        <w:autoSpaceDN w:val="0"/>
        <w:adjustRightInd w:val="0"/>
        <w:rPr>
          <w:rFonts w:cstheme="minorHAnsi"/>
          <w:b/>
          <w:sz w:val="24"/>
          <w:szCs w:val="24"/>
        </w:rPr>
      </w:pPr>
      <w:r w:rsidRPr="00DA47DB">
        <w:rPr>
          <w:rFonts w:cstheme="minorHAnsi"/>
          <w:b/>
          <w:sz w:val="24"/>
          <w:szCs w:val="24"/>
        </w:rPr>
        <w:t>ORGANIZED RESEARCH:</w:t>
      </w:r>
      <w:bookmarkStart w:id="0" w:name="_GoBack"/>
      <w:bookmarkEnd w:id="0"/>
    </w:p>
    <w:p w:rsidR="00DA47DB" w:rsidRPr="00DA47DB" w:rsidRDefault="00DA47DB" w:rsidP="00DA47DB">
      <w:pPr>
        <w:pStyle w:val="indent-3"/>
        <w:spacing w:after="0" w:afterAutospacing="0"/>
        <w:rPr>
          <w:sz w:val="22"/>
          <w:szCs w:val="22"/>
        </w:rPr>
      </w:pPr>
      <w:r w:rsidRPr="00DA47DB">
        <w:rPr>
          <w:rFonts w:cstheme="minorHAnsi"/>
          <w:sz w:val="22"/>
          <w:szCs w:val="22"/>
        </w:rPr>
        <w:t xml:space="preserve">Definition: </w:t>
      </w:r>
      <w:r w:rsidRPr="00DA47DB">
        <w:rPr>
          <w:sz w:val="22"/>
          <w:szCs w:val="22"/>
        </w:rPr>
        <w:t xml:space="preserve">all research and development activities of an institution that are separately budgeted and accounted for. It includes: </w:t>
      </w:r>
    </w:p>
    <w:p w:rsidR="00DA47DB" w:rsidRPr="00DA47DB" w:rsidRDefault="00DA47DB" w:rsidP="00DA47DB">
      <w:pPr>
        <w:pStyle w:val="indent-4"/>
        <w:spacing w:before="0" w:beforeAutospacing="0" w:after="0" w:afterAutospacing="0"/>
        <w:ind w:left="180"/>
        <w:rPr>
          <w:sz w:val="22"/>
          <w:szCs w:val="22"/>
        </w:rPr>
      </w:pPr>
      <w:r w:rsidRPr="00DA47DB">
        <w:rPr>
          <w:rStyle w:val="paren"/>
          <w:sz w:val="22"/>
          <w:szCs w:val="22"/>
        </w:rPr>
        <w:t>(</w:t>
      </w:r>
      <w:r w:rsidRPr="00DA47DB">
        <w:rPr>
          <w:rStyle w:val="paragraph-hierarchy"/>
          <w:sz w:val="22"/>
          <w:szCs w:val="22"/>
        </w:rPr>
        <w:t>1</w:t>
      </w:r>
      <w:r w:rsidRPr="00DA47DB">
        <w:rPr>
          <w:rStyle w:val="paren"/>
          <w:sz w:val="22"/>
          <w:szCs w:val="22"/>
        </w:rPr>
        <w:t>)</w:t>
      </w:r>
      <w:r w:rsidRPr="00DA47DB">
        <w:rPr>
          <w:sz w:val="22"/>
          <w:szCs w:val="22"/>
        </w:rPr>
        <w:t xml:space="preserve"> </w:t>
      </w:r>
      <w:r w:rsidRPr="00DA47DB">
        <w:rPr>
          <w:rStyle w:val="Emphasis"/>
          <w:bCs/>
          <w:sz w:val="22"/>
          <w:szCs w:val="22"/>
        </w:rPr>
        <w:t>Sponsored research</w:t>
      </w:r>
      <w:r w:rsidRPr="00DA47DB">
        <w:rPr>
          <w:sz w:val="22"/>
          <w:szCs w:val="22"/>
        </w:rPr>
        <w:t xml:space="preserve"> means all research and development activities that are sponsored by Federal and non-Federal agencies and organizations. This term includes activities involving the training of individuals in research techniques (commonly called research training) where such activities utilize the same facilities as other research and development activities and where such activities are not included in the instruction function. </w:t>
      </w:r>
    </w:p>
    <w:p w:rsidR="00DA47DB" w:rsidRPr="00DA47DB" w:rsidRDefault="00DA47DB" w:rsidP="00DA47DB">
      <w:pPr>
        <w:pStyle w:val="indent-4"/>
        <w:spacing w:before="0" w:beforeAutospacing="0"/>
        <w:ind w:left="180"/>
        <w:rPr>
          <w:sz w:val="22"/>
          <w:szCs w:val="22"/>
        </w:rPr>
      </w:pPr>
      <w:r w:rsidRPr="00DA47DB">
        <w:rPr>
          <w:rStyle w:val="paren"/>
          <w:sz w:val="22"/>
          <w:szCs w:val="22"/>
        </w:rPr>
        <w:t>(</w:t>
      </w:r>
      <w:r w:rsidRPr="00DA47DB">
        <w:rPr>
          <w:rStyle w:val="paragraph-hierarchy"/>
          <w:sz w:val="22"/>
          <w:szCs w:val="22"/>
        </w:rPr>
        <w:t>2</w:t>
      </w:r>
      <w:r w:rsidRPr="00DA47DB">
        <w:rPr>
          <w:rStyle w:val="paren"/>
          <w:sz w:val="22"/>
          <w:szCs w:val="22"/>
        </w:rPr>
        <w:t>)</w:t>
      </w:r>
      <w:r w:rsidRPr="00DA47DB">
        <w:rPr>
          <w:sz w:val="22"/>
          <w:szCs w:val="22"/>
        </w:rPr>
        <w:t xml:space="preserve"> </w:t>
      </w:r>
      <w:r w:rsidRPr="00DA47DB">
        <w:rPr>
          <w:rStyle w:val="Emphasis"/>
          <w:bCs/>
          <w:sz w:val="22"/>
          <w:szCs w:val="22"/>
        </w:rPr>
        <w:t>University research</w:t>
      </w:r>
      <w:r w:rsidRPr="00DA47DB">
        <w:rPr>
          <w:sz w:val="22"/>
          <w:szCs w:val="22"/>
        </w:rPr>
        <w:t xml:space="preserve"> means all research and development activities that are separately budgeted and accounted for by the institution under an internal application of institutional funds. University research, for purposes of this document, must be combined with sponsored research under the function of organized research.</w:t>
      </w:r>
    </w:p>
    <w:p w:rsidR="00DA47DB" w:rsidRPr="00DA47DB" w:rsidRDefault="00DA47DB" w:rsidP="00D915DE">
      <w:pPr>
        <w:autoSpaceDE w:val="0"/>
        <w:autoSpaceDN w:val="0"/>
        <w:adjustRightInd w:val="0"/>
        <w:rPr>
          <w:rFonts w:cstheme="minorHAnsi"/>
          <w:sz w:val="24"/>
          <w:szCs w:val="24"/>
          <w:u w:val="single"/>
        </w:rPr>
      </w:pPr>
      <w:r w:rsidRPr="00DA47DB">
        <w:rPr>
          <w:rFonts w:cstheme="minorHAnsi"/>
          <w:sz w:val="24"/>
          <w:szCs w:val="24"/>
          <w:u w:val="single"/>
        </w:rPr>
        <w:t>For Budget Justifications:</w:t>
      </w:r>
    </w:p>
    <w:p w:rsidR="00D915DE" w:rsidRDefault="00D915DE" w:rsidP="00D915DE">
      <w:pPr>
        <w:autoSpaceDE w:val="0"/>
        <w:autoSpaceDN w:val="0"/>
        <w:adjustRightInd w:val="0"/>
        <w:rPr>
          <w:rFonts w:cstheme="minorHAnsi"/>
          <w:sz w:val="24"/>
          <w:szCs w:val="24"/>
        </w:rPr>
      </w:pPr>
      <w:r>
        <w:rPr>
          <w:rFonts w:cstheme="minorHAnsi"/>
          <w:sz w:val="24"/>
          <w:szCs w:val="24"/>
        </w:rPr>
        <w:t xml:space="preserve">UA Little Rock’s facilities &amp; administrative (F&amp;A) costs are calculated based on Modified Total Direct Costs (MTDC) as defined in 2 CFR Part 200.68 using F&amp;A approved by the U.S. Department of Health &amp; Human Services (DHHS). MTDC is comprised of total direct costs less capital equipment, alterations and renovations, patient care costs, off-campus rent, tuition and fee remission, scholarships and fellowships, participant support costs, and that portion of subaward costs in excess of $25,000. </w:t>
      </w:r>
    </w:p>
    <w:p w:rsidR="00D915DE" w:rsidRDefault="00827EB3" w:rsidP="00D915DE">
      <w:pPr>
        <w:autoSpaceDE w:val="0"/>
        <w:autoSpaceDN w:val="0"/>
        <w:adjustRightInd w:val="0"/>
        <w:rPr>
          <w:rFonts w:cstheme="minorHAnsi"/>
          <w:sz w:val="24"/>
          <w:szCs w:val="24"/>
        </w:rPr>
      </w:pPr>
      <w:r>
        <w:rPr>
          <w:rFonts w:cstheme="minorHAnsi"/>
          <w:sz w:val="24"/>
          <w:szCs w:val="24"/>
        </w:rPr>
        <w:t>Rates established by UA Little Rock’s F&amp;A rate agreement dated June 7, 2023 are as follows:</w:t>
      </w:r>
    </w:p>
    <w:p w:rsidR="00827EB3" w:rsidRDefault="00827EB3" w:rsidP="00827EB3">
      <w:pPr>
        <w:pStyle w:val="ListParagraph"/>
        <w:numPr>
          <w:ilvl w:val="0"/>
          <w:numId w:val="1"/>
        </w:numPr>
        <w:autoSpaceDE w:val="0"/>
        <w:autoSpaceDN w:val="0"/>
        <w:adjustRightInd w:val="0"/>
        <w:rPr>
          <w:rFonts w:cstheme="minorHAnsi"/>
          <w:sz w:val="24"/>
          <w:szCs w:val="24"/>
        </w:rPr>
      </w:pPr>
      <w:r>
        <w:rPr>
          <w:rFonts w:cstheme="minorHAnsi"/>
          <w:sz w:val="24"/>
          <w:szCs w:val="24"/>
        </w:rPr>
        <w:t>July 1, 2023, to June 30, 2024: 43.5%</w:t>
      </w:r>
    </w:p>
    <w:p w:rsidR="00827EB3" w:rsidRDefault="00827EB3" w:rsidP="00827EB3">
      <w:pPr>
        <w:pStyle w:val="ListParagraph"/>
        <w:numPr>
          <w:ilvl w:val="0"/>
          <w:numId w:val="1"/>
        </w:numPr>
        <w:autoSpaceDE w:val="0"/>
        <w:autoSpaceDN w:val="0"/>
        <w:adjustRightInd w:val="0"/>
        <w:rPr>
          <w:rFonts w:cstheme="minorHAnsi"/>
          <w:sz w:val="24"/>
          <w:szCs w:val="24"/>
        </w:rPr>
      </w:pPr>
      <w:r>
        <w:rPr>
          <w:rFonts w:cstheme="minorHAnsi"/>
          <w:sz w:val="24"/>
          <w:szCs w:val="24"/>
        </w:rPr>
        <w:t>July 1, 2024, to June 30, 2025: 44.0%</w:t>
      </w:r>
    </w:p>
    <w:p w:rsidR="00827EB3" w:rsidRDefault="00827EB3" w:rsidP="00827EB3">
      <w:pPr>
        <w:pStyle w:val="ListParagraph"/>
        <w:numPr>
          <w:ilvl w:val="0"/>
          <w:numId w:val="1"/>
        </w:numPr>
        <w:autoSpaceDE w:val="0"/>
        <w:autoSpaceDN w:val="0"/>
        <w:adjustRightInd w:val="0"/>
        <w:rPr>
          <w:rFonts w:cstheme="minorHAnsi"/>
          <w:sz w:val="24"/>
          <w:szCs w:val="24"/>
        </w:rPr>
      </w:pPr>
      <w:r>
        <w:rPr>
          <w:rFonts w:cstheme="minorHAnsi"/>
          <w:sz w:val="24"/>
          <w:szCs w:val="24"/>
        </w:rPr>
        <w:t>July 1, 2025, to June 30, 2026: 45.0%</w:t>
      </w:r>
    </w:p>
    <w:p w:rsidR="00827EB3" w:rsidRPr="00827EB3" w:rsidRDefault="00827EB3" w:rsidP="00827EB3">
      <w:pPr>
        <w:pStyle w:val="ListParagraph"/>
        <w:numPr>
          <w:ilvl w:val="0"/>
          <w:numId w:val="1"/>
        </w:numPr>
        <w:autoSpaceDE w:val="0"/>
        <w:autoSpaceDN w:val="0"/>
        <w:adjustRightInd w:val="0"/>
        <w:rPr>
          <w:rFonts w:cstheme="minorHAnsi"/>
          <w:sz w:val="24"/>
          <w:szCs w:val="24"/>
        </w:rPr>
      </w:pPr>
      <w:r>
        <w:rPr>
          <w:rFonts w:cstheme="minorHAnsi"/>
          <w:sz w:val="24"/>
          <w:szCs w:val="24"/>
        </w:rPr>
        <w:t>July 1, 2025, to June 30, 2027 (or until amended): 46.0%</w:t>
      </w:r>
    </w:p>
    <w:p w:rsidR="00B3515F" w:rsidRPr="0040277A" w:rsidRDefault="00B3515F">
      <w:pPr>
        <w:rPr>
          <w:rFonts w:cstheme="minorHAnsi"/>
        </w:rPr>
      </w:pPr>
    </w:p>
    <w:sectPr w:rsidR="00B3515F" w:rsidRPr="00402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14D21"/>
    <w:multiLevelType w:val="hybridMultilevel"/>
    <w:tmpl w:val="5988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7A"/>
    <w:rsid w:val="002A6D1B"/>
    <w:rsid w:val="0040277A"/>
    <w:rsid w:val="004126C1"/>
    <w:rsid w:val="00827EB3"/>
    <w:rsid w:val="00B3515F"/>
    <w:rsid w:val="00C12BB1"/>
    <w:rsid w:val="00D915DE"/>
    <w:rsid w:val="00DA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7EBD"/>
  <w15:chartTrackingRefBased/>
  <w15:docId w15:val="{6DCF523F-BD34-4BCD-B9BD-0A8C52B2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5D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277A"/>
    <w:pPr>
      <w:widowControl w:val="0"/>
      <w:spacing w:after="0" w:line="240" w:lineRule="auto"/>
    </w:pPr>
  </w:style>
  <w:style w:type="paragraph" w:customStyle="1" w:styleId="indent-3">
    <w:name w:val="indent-3"/>
    <w:basedOn w:val="Normal"/>
    <w:rsid w:val="00DA4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DA4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DA47DB"/>
  </w:style>
  <w:style w:type="character" w:customStyle="1" w:styleId="paren">
    <w:name w:val="paren"/>
    <w:basedOn w:val="DefaultParagraphFont"/>
    <w:rsid w:val="00DA47DB"/>
  </w:style>
  <w:style w:type="character" w:styleId="Emphasis">
    <w:name w:val="Emphasis"/>
    <w:basedOn w:val="DefaultParagraphFont"/>
    <w:uiPriority w:val="20"/>
    <w:qFormat/>
    <w:rsid w:val="00DA4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0206">
      <w:bodyDiv w:val="1"/>
      <w:marLeft w:val="0"/>
      <w:marRight w:val="0"/>
      <w:marTop w:val="0"/>
      <w:marBottom w:val="0"/>
      <w:divBdr>
        <w:top w:val="none" w:sz="0" w:space="0" w:color="auto"/>
        <w:left w:val="none" w:sz="0" w:space="0" w:color="auto"/>
        <w:bottom w:val="none" w:sz="0" w:space="0" w:color="auto"/>
        <w:right w:val="none" w:sz="0" w:space="0" w:color="auto"/>
      </w:divBdr>
    </w:div>
    <w:div w:id="844519350">
      <w:bodyDiv w:val="1"/>
      <w:marLeft w:val="0"/>
      <w:marRight w:val="0"/>
      <w:marTop w:val="0"/>
      <w:marBottom w:val="0"/>
      <w:divBdr>
        <w:top w:val="none" w:sz="0" w:space="0" w:color="auto"/>
        <w:left w:val="none" w:sz="0" w:space="0" w:color="auto"/>
        <w:bottom w:val="none" w:sz="0" w:space="0" w:color="auto"/>
        <w:right w:val="none" w:sz="0" w:space="0" w:color="auto"/>
      </w:divBdr>
      <w:divsChild>
        <w:div w:id="1406148141">
          <w:marLeft w:val="0"/>
          <w:marRight w:val="0"/>
          <w:marTop w:val="0"/>
          <w:marBottom w:val="0"/>
          <w:divBdr>
            <w:top w:val="none" w:sz="0" w:space="0" w:color="auto"/>
            <w:left w:val="none" w:sz="0" w:space="0" w:color="auto"/>
            <w:bottom w:val="none" w:sz="0" w:space="0" w:color="auto"/>
            <w:right w:val="none" w:sz="0" w:space="0" w:color="auto"/>
          </w:divBdr>
        </w:div>
        <w:div w:id="1113010958">
          <w:marLeft w:val="0"/>
          <w:marRight w:val="0"/>
          <w:marTop w:val="0"/>
          <w:marBottom w:val="0"/>
          <w:divBdr>
            <w:top w:val="none" w:sz="0" w:space="0" w:color="auto"/>
            <w:left w:val="none" w:sz="0" w:space="0" w:color="auto"/>
            <w:bottom w:val="none" w:sz="0" w:space="0" w:color="auto"/>
            <w:right w:val="none" w:sz="0" w:space="0" w:color="auto"/>
          </w:divBdr>
        </w:div>
      </w:divsChild>
    </w:div>
    <w:div w:id="13112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2778</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Kaufman</dc:creator>
  <cp:keywords/>
  <dc:description/>
  <cp:lastModifiedBy>Sharon Kaufman</cp:lastModifiedBy>
  <cp:revision>2</cp:revision>
  <dcterms:created xsi:type="dcterms:W3CDTF">2022-02-04T22:06:00Z</dcterms:created>
  <dcterms:modified xsi:type="dcterms:W3CDTF">2023-07-19T21:57:00Z</dcterms:modified>
</cp:coreProperties>
</file>