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314"/>
      </w:tblGrid>
      <w:tr w:rsidR="007861AA" w:rsidRPr="0014032D" w:rsidTr="005A71FE">
        <w:trPr>
          <w:trHeight w:val="1935"/>
        </w:trPr>
        <w:tc>
          <w:tcPr>
            <w:tcW w:w="9569" w:type="dxa"/>
            <w:vAlign w:val="center"/>
          </w:tcPr>
          <w:p w:rsidR="007861AA" w:rsidRPr="0014032D" w:rsidRDefault="007861AA" w:rsidP="005A1526">
            <w:pPr>
              <w:ind w:left="-432" w:firstLine="263"/>
              <w:jc w:val="center"/>
              <w:rPr>
                <w:rFonts w:ascii="Times New Roman" w:eastAsia="Calibri" w:hAnsi="Times New Roman" w:cs="Times New Roman"/>
                <w:b/>
                <w:sz w:val="32"/>
                <w:szCs w:val="32"/>
              </w:rPr>
            </w:pPr>
            <w:r w:rsidRPr="0014032D">
              <w:rPr>
                <w:rFonts w:ascii="Times New Roman" w:eastAsia="Calibri" w:hAnsi="Times New Roman" w:cs="Times New Roman"/>
                <w:b/>
                <w:sz w:val="32"/>
                <w:szCs w:val="32"/>
              </w:rPr>
              <w:t>University of Arkansas at Little Rock</w:t>
            </w:r>
          </w:p>
          <w:p w:rsidR="007861AA" w:rsidRPr="0014032D" w:rsidRDefault="007861AA" w:rsidP="005A71FE">
            <w:pPr>
              <w:ind w:left="-263" w:firstLine="263"/>
              <w:rPr>
                <w:rFonts w:ascii="Times New Roman" w:eastAsia="Calibri" w:hAnsi="Times New Roman" w:cs="Times New Roman"/>
                <w:b/>
                <w:sz w:val="28"/>
                <w:szCs w:val="28"/>
              </w:rPr>
            </w:pPr>
          </w:p>
          <w:p w:rsidR="007861AA" w:rsidRPr="001A599B" w:rsidRDefault="007861AA" w:rsidP="005A71FE">
            <w:pPr>
              <w:autoSpaceDE w:val="0"/>
              <w:autoSpaceDN w:val="0"/>
              <w:adjustRightInd w:val="0"/>
              <w:rPr>
                <w:rFonts w:ascii="Times New Roman" w:eastAsia="Calibri" w:hAnsi="Times New Roman" w:cs="Times New Roman"/>
                <w:b/>
                <w:sz w:val="28"/>
                <w:szCs w:val="28"/>
              </w:rPr>
            </w:pPr>
            <w:r w:rsidRPr="001A599B">
              <w:rPr>
                <w:rFonts w:ascii="Times New Roman" w:eastAsia="Calibri" w:hAnsi="Times New Roman" w:cs="Times New Roman"/>
                <w:b/>
                <w:sz w:val="28"/>
                <w:szCs w:val="28"/>
              </w:rPr>
              <w:t xml:space="preserve">Policy Name:  </w:t>
            </w:r>
            <w:r w:rsidR="003B0509">
              <w:rPr>
                <w:rFonts w:ascii="Verdana" w:hAnsi="Verdana"/>
                <w:color w:val="000000"/>
                <w:sz w:val="21"/>
                <w:szCs w:val="21"/>
                <w:shd w:val="clear" w:color="auto" w:fill="FFFFFF"/>
              </w:rPr>
              <w:t>Title IX – UA Little Rock Policy for Sex- and Gender-Based Discrimination, Harassment, and Misconduct Complaints, and Complaint Retaliation</w:t>
            </w:r>
            <w:r w:rsidR="003B0509">
              <w:rPr>
                <w:rFonts w:ascii="Times New Roman" w:eastAsia="Calibri" w:hAnsi="Times New Roman" w:cs="Times New Roman"/>
                <w:sz w:val="28"/>
                <w:szCs w:val="28"/>
              </w:rPr>
              <w:t xml:space="preserve"> </w:t>
            </w:r>
            <w:r w:rsidRPr="001A599B">
              <w:rPr>
                <w:rFonts w:ascii="Times New Roman" w:eastAsia="Calibri" w:hAnsi="Times New Roman" w:cs="Times New Roman"/>
                <w:b/>
                <w:sz w:val="28"/>
                <w:szCs w:val="28"/>
              </w:rPr>
              <w:br/>
              <w:t>Policy Number:</w:t>
            </w:r>
            <w:r w:rsidR="005A1526" w:rsidRPr="001A599B">
              <w:rPr>
                <w:rFonts w:ascii="Times New Roman" w:eastAsia="Calibri" w:hAnsi="Times New Roman" w:cs="Times New Roman"/>
                <w:b/>
                <w:sz w:val="28"/>
                <w:szCs w:val="28"/>
              </w:rPr>
              <w:t xml:space="preserve">  </w:t>
            </w:r>
            <w:r w:rsidR="003B0509">
              <w:rPr>
                <w:rFonts w:ascii="Verdana" w:hAnsi="Verdana"/>
                <w:color w:val="000000"/>
                <w:sz w:val="21"/>
                <w:szCs w:val="21"/>
                <w:shd w:val="clear" w:color="auto" w:fill="FFFFFF"/>
              </w:rPr>
              <w:t>401.7</w:t>
            </w:r>
            <w:r w:rsidR="005A1526" w:rsidRPr="001A599B">
              <w:rPr>
                <w:rFonts w:ascii="Times New Roman" w:eastAsia="Calibri" w:hAnsi="Times New Roman" w:cs="Times New Roman"/>
                <w:b/>
                <w:sz w:val="28"/>
                <w:szCs w:val="28"/>
              </w:rPr>
              <w:t xml:space="preserve"> </w:t>
            </w:r>
            <w:r w:rsidR="00E07C00" w:rsidRPr="001A599B">
              <w:rPr>
                <w:rFonts w:ascii="Times New Roman" w:eastAsia="Calibri" w:hAnsi="Times New Roman" w:cs="Times New Roman"/>
                <w:b/>
                <w:sz w:val="28"/>
                <w:szCs w:val="28"/>
              </w:rPr>
              <w:tab/>
            </w:r>
            <w:r w:rsidR="003B0509">
              <w:rPr>
                <w:rFonts w:ascii="Times New Roman" w:eastAsia="Calibri" w:hAnsi="Times New Roman" w:cs="Times New Roman"/>
                <w:sz w:val="28"/>
                <w:szCs w:val="28"/>
              </w:rPr>
              <w:t xml:space="preserve"> </w:t>
            </w:r>
            <w:r w:rsidR="00E07C00" w:rsidRPr="001A599B">
              <w:rPr>
                <w:rFonts w:ascii="Times New Roman" w:eastAsia="Calibri" w:hAnsi="Times New Roman" w:cs="Times New Roman"/>
                <w:sz w:val="28"/>
                <w:szCs w:val="28"/>
              </w:rPr>
              <w:t xml:space="preserve"> </w:t>
            </w:r>
            <w:r w:rsidR="0075439F" w:rsidRPr="001A599B">
              <w:rPr>
                <w:rFonts w:ascii="Times New Roman" w:eastAsia="Calibri" w:hAnsi="Times New Roman" w:cs="Times New Roman"/>
                <w:sz w:val="28"/>
                <w:szCs w:val="28"/>
              </w:rPr>
              <w:t xml:space="preserve"> </w:t>
            </w:r>
          </w:p>
          <w:p w:rsidR="007861AA" w:rsidRPr="001A599B" w:rsidRDefault="007861AA" w:rsidP="005A71FE">
            <w:pPr>
              <w:ind w:left="-263" w:firstLine="263"/>
              <w:rPr>
                <w:rFonts w:ascii="Times New Roman" w:eastAsia="Calibri" w:hAnsi="Times New Roman" w:cs="Times New Roman"/>
                <w:b/>
                <w:sz w:val="28"/>
                <w:szCs w:val="28"/>
              </w:rPr>
            </w:pPr>
            <w:r w:rsidRPr="001A599B">
              <w:rPr>
                <w:rFonts w:ascii="Times New Roman" w:eastAsia="Calibri" w:hAnsi="Times New Roman" w:cs="Times New Roman"/>
                <w:b/>
                <w:sz w:val="28"/>
                <w:szCs w:val="28"/>
              </w:rPr>
              <w:t xml:space="preserve">Effective Date: </w:t>
            </w:r>
            <w:r w:rsidR="003B0509">
              <w:rPr>
                <w:rFonts w:ascii="Verdana" w:hAnsi="Verdana"/>
                <w:color w:val="000000"/>
                <w:sz w:val="21"/>
                <w:szCs w:val="21"/>
                <w:shd w:val="clear" w:color="auto" w:fill="FFFFFF"/>
              </w:rPr>
              <w:t>October 10, 2018</w:t>
            </w:r>
            <w:r w:rsidRPr="001A599B">
              <w:rPr>
                <w:rFonts w:ascii="Times New Roman" w:eastAsia="Calibri" w:hAnsi="Times New Roman" w:cs="Times New Roman"/>
                <w:b/>
                <w:sz w:val="28"/>
                <w:szCs w:val="28"/>
              </w:rPr>
              <w:t xml:space="preserve"> </w:t>
            </w:r>
            <w:r w:rsidR="00E07C00" w:rsidRPr="001A599B">
              <w:rPr>
                <w:rFonts w:ascii="Times New Roman" w:eastAsia="Calibri" w:hAnsi="Times New Roman" w:cs="Times New Roman"/>
                <w:b/>
                <w:sz w:val="28"/>
                <w:szCs w:val="28"/>
              </w:rPr>
              <w:tab/>
            </w:r>
            <w:r w:rsidR="003B0509">
              <w:rPr>
                <w:rFonts w:ascii="Times New Roman" w:eastAsia="Calibri" w:hAnsi="Times New Roman" w:cs="Times New Roman"/>
                <w:sz w:val="28"/>
                <w:szCs w:val="28"/>
              </w:rPr>
              <w:t xml:space="preserve"> </w:t>
            </w:r>
          </w:p>
          <w:p w:rsidR="001779A3" w:rsidRPr="001A599B" w:rsidRDefault="008A5F03" w:rsidP="00344526">
            <w:pPr>
              <w:ind w:left="2124" w:hanging="2124"/>
              <w:rPr>
                <w:rFonts w:ascii="Times New Roman" w:eastAsia="Calibri" w:hAnsi="Times New Roman" w:cs="Times New Roman"/>
                <w:sz w:val="28"/>
                <w:szCs w:val="28"/>
              </w:rPr>
            </w:pPr>
            <w:r w:rsidRPr="001A599B">
              <w:rPr>
                <w:rFonts w:ascii="Times New Roman" w:eastAsia="Calibri" w:hAnsi="Times New Roman" w:cs="Times New Roman"/>
                <w:b/>
                <w:sz w:val="28"/>
                <w:szCs w:val="28"/>
              </w:rPr>
              <w:t>Revised Date</w:t>
            </w:r>
            <w:r w:rsidR="00344526" w:rsidRPr="001A599B">
              <w:rPr>
                <w:rFonts w:ascii="Times New Roman" w:eastAsia="Calibri" w:hAnsi="Times New Roman" w:cs="Times New Roman"/>
                <w:b/>
                <w:sz w:val="28"/>
                <w:szCs w:val="28"/>
              </w:rPr>
              <w:t>s</w:t>
            </w:r>
            <w:r w:rsidRPr="001A599B">
              <w:rPr>
                <w:rFonts w:ascii="Times New Roman" w:eastAsia="Calibri" w:hAnsi="Times New Roman" w:cs="Times New Roman"/>
                <w:b/>
                <w:sz w:val="28"/>
                <w:szCs w:val="28"/>
              </w:rPr>
              <w:t xml:space="preserve">: </w:t>
            </w:r>
            <w:r w:rsidR="003B0509">
              <w:rPr>
                <w:rFonts w:ascii="Times New Roman" w:eastAsia="Calibri" w:hAnsi="Times New Roman" w:cs="Times New Roman"/>
                <w:b/>
                <w:sz w:val="28"/>
                <w:szCs w:val="28"/>
              </w:rPr>
              <w:t xml:space="preserve"> </w:t>
            </w:r>
            <w:r w:rsidR="003B0509">
              <w:rPr>
                <w:rFonts w:ascii="Verdana" w:hAnsi="Verdana"/>
                <w:color w:val="000000"/>
                <w:sz w:val="21"/>
                <w:szCs w:val="21"/>
                <w:shd w:val="clear" w:color="auto" w:fill="FFFFFF"/>
              </w:rPr>
              <w:t>June 27, 2019</w:t>
            </w:r>
            <w:r w:rsidRPr="001A599B">
              <w:rPr>
                <w:rFonts w:ascii="Times New Roman" w:eastAsia="Calibri" w:hAnsi="Times New Roman" w:cs="Times New Roman"/>
                <w:b/>
                <w:sz w:val="28"/>
                <w:szCs w:val="28"/>
              </w:rPr>
              <w:t xml:space="preserve">   </w:t>
            </w:r>
            <w:r w:rsidR="003B0509">
              <w:rPr>
                <w:rFonts w:ascii="Times New Roman" w:eastAsia="Calibri" w:hAnsi="Times New Roman" w:cs="Times New Roman"/>
                <w:sz w:val="28"/>
                <w:szCs w:val="28"/>
              </w:rPr>
              <w:t xml:space="preserve"> </w:t>
            </w:r>
          </w:p>
          <w:p w:rsidR="007861AA" w:rsidRPr="0014032D" w:rsidRDefault="001779A3" w:rsidP="003B0509">
            <w:pPr>
              <w:ind w:left="2124" w:hanging="2124"/>
              <w:rPr>
                <w:rFonts w:ascii="Times New Roman" w:eastAsia="Calibri" w:hAnsi="Times New Roman" w:cs="Times New Roman"/>
                <w:sz w:val="24"/>
                <w:szCs w:val="24"/>
              </w:rPr>
            </w:pPr>
            <w:r w:rsidRPr="001A599B">
              <w:rPr>
                <w:rFonts w:ascii="Times New Roman" w:eastAsia="Calibri" w:hAnsi="Times New Roman" w:cs="Times New Roman"/>
                <w:b/>
                <w:sz w:val="28"/>
                <w:szCs w:val="28"/>
              </w:rPr>
              <w:t>Most Recent Reviewed Date:</w:t>
            </w:r>
            <w:r w:rsidRPr="001A599B">
              <w:rPr>
                <w:rFonts w:ascii="Times New Roman" w:eastAsia="Calibri" w:hAnsi="Times New Roman" w:cs="Times New Roman"/>
                <w:sz w:val="28"/>
                <w:szCs w:val="28"/>
              </w:rPr>
              <w:t xml:space="preserve"> </w:t>
            </w:r>
            <w:r w:rsidR="00934DCD" w:rsidRPr="001A599B">
              <w:rPr>
                <w:rFonts w:ascii="Times New Roman" w:eastAsia="Calibri" w:hAnsi="Times New Roman" w:cs="Times New Roman"/>
                <w:sz w:val="28"/>
                <w:szCs w:val="28"/>
              </w:rPr>
              <w:t xml:space="preserve"> </w:t>
            </w:r>
            <w:r w:rsidR="003B0509">
              <w:rPr>
                <w:rFonts w:ascii="Verdana" w:hAnsi="Verdana"/>
                <w:color w:val="000000"/>
                <w:sz w:val="21"/>
                <w:szCs w:val="21"/>
                <w:shd w:val="clear" w:color="auto" w:fill="FFFFFF"/>
              </w:rPr>
              <w:t>June 27, 2019</w:t>
            </w:r>
          </w:p>
        </w:tc>
      </w:tr>
    </w:tbl>
    <w:p w:rsidR="007861AA" w:rsidRDefault="007861AA" w:rsidP="007861AA">
      <w:pPr>
        <w:pStyle w:val="ListParagraph"/>
        <w:autoSpaceDE w:val="0"/>
        <w:autoSpaceDN w:val="0"/>
        <w:adjustRightInd w:val="0"/>
        <w:spacing w:after="0" w:line="240" w:lineRule="auto"/>
        <w:ind w:left="1080"/>
        <w:rPr>
          <w:rFonts w:ascii="Times New Roman" w:hAnsi="Times New Roman" w:cs="Times New Roman"/>
          <w:b/>
          <w:bCs/>
          <w:sz w:val="24"/>
          <w:szCs w:val="24"/>
          <w:lang w:bidi="ar-SA"/>
        </w:rPr>
      </w:pPr>
    </w:p>
    <w:p w:rsidR="007861AA" w:rsidRPr="00E07C00" w:rsidRDefault="007861AA" w:rsidP="00E07C00">
      <w:pPr>
        <w:pStyle w:val="NoSpacing"/>
        <w:rPr>
          <w:rFonts w:ascii="Times New Roman" w:hAnsi="Times New Roman" w:cs="Times New Roman"/>
          <w:sz w:val="24"/>
          <w:szCs w:val="24"/>
        </w:rPr>
      </w:pPr>
      <w:r w:rsidRPr="00E07C00">
        <w:rPr>
          <w:rFonts w:ascii="Times New Roman" w:hAnsi="Times New Roman" w:cs="Times New Roman"/>
          <w:b/>
          <w:sz w:val="24"/>
          <w:szCs w:val="24"/>
        </w:rPr>
        <w:t>Policy</w:t>
      </w:r>
      <w:r w:rsidRPr="00E07C00">
        <w:rPr>
          <w:rFonts w:ascii="Times New Roman" w:hAnsi="Times New Roman" w:cs="Times New Roman"/>
          <w:sz w:val="24"/>
          <w:szCs w:val="24"/>
        </w:rPr>
        <w:t>:</w:t>
      </w:r>
    </w:p>
    <w:p w:rsidR="007861AA" w:rsidRDefault="007861AA" w:rsidP="00E07C00">
      <w:pPr>
        <w:pStyle w:val="NoSpacing"/>
        <w:rPr>
          <w:rFonts w:ascii="Times New Roman" w:hAnsi="Times New Roman" w:cs="Times New Roman"/>
          <w:sz w:val="24"/>
          <w:szCs w:val="24"/>
        </w:rPr>
      </w:pPr>
    </w:p>
    <w:p w:rsidR="003B0509" w:rsidRDefault="003B0509" w:rsidP="003B0509">
      <w:pPr>
        <w:spacing w:line="315" w:lineRule="atLeast"/>
        <w:textAlignment w:val="baseline"/>
        <w:rPr>
          <w:rFonts w:ascii="Verdana" w:eastAsia="Times New Roman" w:hAnsi="Verdana" w:cs="Times New Roman"/>
          <w:b/>
          <w:bCs/>
          <w:color w:val="000000"/>
          <w:sz w:val="21"/>
          <w:szCs w:val="21"/>
          <w:bdr w:val="none" w:sz="0" w:space="0" w:color="auto" w:frame="1"/>
        </w:rPr>
      </w:pPr>
      <w:hyperlink r:id="rId8" w:history="1">
        <w:r w:rsidRPr="00F31DE0">
          <w:rPr>
            <w:rFonts w:ascii="Verdana" w:eastAsia="Times New Roman" w:hAnsi="Verdana" w:cs="Times New Roman"/>
            <w:b/>
            <w:bCs/>
            <w:color w:val="6E2639"/>
            <w:sz w:val="21"/>
            <w:szCs w:val="21"/>
            <w:u w:val="single"/>
            <w:bdr w:val="none" w:sz="0" w:space="0" w:color="auto" w:frame="1"/>
          </w:rPr>
          <w:t>UALR Title IX Incident Report Form</w:t>
        </w:r>
      </w:hyperlink>
    </w:p>
    <w:p w:rsidR="003B0509" w:rsidRPr="00F31DE0" w:rsidRDefault="003B0509" w:rsidP="003B0509">
      <w:pPr>
        <w:spacing w:line="315" w:lineRule="atLeast"/>
        <w:textAlignment w:val="baseline"/>
        <w:rPr>
          <w:rFonts w:ascii="Verdana" w:eastAsia="Times New Roman" w:hAnsi="Verdana" w:cs="Times New Roman"/>
          <w:color w:val="000000"/>
          <w:sz w:val="21"/>
          <w:szCs w:val="21"/>
        </w:rPr>
      </w:pPr>
    </w:p>
    <w:p w:rsidR="003B0509" w:rsidRPr="00F31DE0" w:rsidRDefault="003B0509" w:rsidP="003B0509">
      <w:pPr>
        <w:spacing w:line="315" w:lineRule="atLeast"/>
        <w:textAlignment w:val="baseline"/>
        <w:rPr>
          <w:rFonts w:ascii="Verdana" w:eastAsia="Times New Roman" w:hAnsi="Verdana" w:cs="Times New Roman"/>
          <w:color w:val="000000"/>
          <w:sz w:val="21"/>
          <w:szCs w:val="21"/>
        </w:rPr>
      </w:pPr>
      <w:hyperlink r:id="rId9" w:history="1">
        <w:r w:rsidRPr="00F31DE0">
          <w:rPr>
            <w:rFonts w:ascii="Verdana" w:eastAsia="Times New Roman" w:hAnsi="Verdana" w:cs="Times New Roman"/>
            <w:b/>
            <w:bCs/>
            <w:color w:val="6E2639"/>
            <w:sz w:val="21"/>
            <w:szCs w:val="21"/>
            <w:u w:val="single"/>
            <w:bdr w:val="none" w:sz="0" w:space="0" w:color="auto" w:frame="1"/>
          </w:rPr>
          <w:t>UALR Title IX Policy in PDF</w:t>
        </w:r>
      </w:hyperlink>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Policy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of Arkansas at Little Rock is committed to providing an environment that emphasizes the dignity and worth of every member of its community and that is free from harassment and discrimination based upon race, color, religion, national origin, service in the uniformed services (as defined in state and federal law), veteran status, sex, gender, sexual orientation, gender identity, pregnancy, age, physical or mental disability, or genetic information. Such an environment is necessary for a healthy learning, working, and living atmosphere. Accordingly, all acts of discrimination, harassment, retaliation, and sexual misconduct as defined by this policy are prohibited.</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Jurisdiction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Title IX protects the university community from sexual discrimination, harassment, and </w:t>
      </w:r>
      <w:bookmarkStart w:id="0" w:name="_GoBack"/>
      <w:bookmarkEnd w:id="0"/>
      <w:r w:rsidRPr="003B0509">
        <w:rPr>
          <w:rFonts w:ascii="Times New Roman" w:eastAsia="Times New Roman" w:hAnsi="Times New Roman" w:cs="Times New Roman"/>
          <w:color w:val="000000"/>
          <w:sz w:val="21"/>
          <w:szCs w:val="21"/>
        </w:rPr>
        <w:t>misconduct in a school’s education programs and activities. Title IX protects the university community in connection with all academic, educational, extracurricular, athletic, and other university programs, whether those programs take place on university property, in university transportation, at a class or training program sponsored by the university at another location, online, or elsewhere.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will continue to administer this policy with respect to any such conduct by a student, faculty or staff even if the student graduates, withdraws, takes leave or is otherwise absent or if the student, faculty or staff leaves the university’s employ or is otherwise absent and even if the university does not learn of such conduct until after the student, faculty of staff leaves the university’s employ or is otherwise absent.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This policy is not intended to restrict curriculum or prohibit or abridge the use of particular textbooks or curricular materials, nor shall it be construed to restrict constitutionally protected expression or freedom of scientific investigation.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Consistent with state and federal law, reasonable accommodation will be provided to persons with disabilities.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All complaints or any concerns about conduct that may violate this policy should be submitted to the Title IX Coordinator or Title IX Deputy Coordinators. All references to the Title IX Coordinator in this policy implicitly include the Senior Deputy Title IX Coordinator or designee.</w:t>
      </w: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FILING A REPORT</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Filing a Report with Campus Officials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u w:val="single"/>
          <w:bdr w:val="none" w:sz="0" w:space="0" w:color="auto" w:frame="1"/>
        </w:rPr>
        <w:t>Title IX Coordinator</w:t>
      </w:r>
      <w:r w:rsidRPr="003B0509">
        <w:rPr>
          <w:rFonts w:ascii="Times New Roman" w:eastAsia="Times New Roman" w:hAnsi="Times New Roman" w:cs="Times New Roman"/>
          <w:color w:val="000000"/>
          <w:sz w:val="21"/>
          <w:szCs w:val="21"/>
        </w:rPr>
        <w:br/>
        <w:t>LaTonda Williams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Director, Office of Title IX</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University Services Building, Suite 100</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Office: 501.975.2556</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Email: </w:t>
      </w:r>
      <w:hyperlink r:id="rId10" w:history="1">
        <w:r w:rsidRPr="003B0509">
          <w:rPr>
            <w:rStyle w:val="Hyperlink"/>
            <w:rFonts w:ascii="Times New Roman" w:eastAsia="Times New Roman" w:hAnsi="Times New Roman" w:cs="Times New Roman"/>
            <w:sz w:val="21"/>
            <w:szCs w:val="21"/>
          </w:rPr>
          <w:t>lwdavis@ualr.edu</w:t>
        </w:r>
      </w:hyperlink>
    </w:p>
    <w:p w:rsidR="003B0509" w:rsidRPr="003B0509" w:rsidRDefault="003B0509" w:rsidP="003B0509">
      <w:pPr>
        <w:spacing w:line="315" w:lineRule="atLeast"/>
        <w:textAlignment w:val="baseline"/>
        <w:rPr>
          <w:rStyle w:val="Hyperlink"/>
          <w:rFonts w:ascii="Times New Roman" w:eastAsia="Times New Roman" w:hAnsi="Times New Roman" w:cs="Times New Roman"/>
          <w:sz w:val="21"/>
          <w:szCs w:val="21"/>
        </w:rPr>
      </w:pPr>
      <w:r w:rsidRPr="003B0509">
        <w:rPr>
          <w:rFonts w:ascii="Times New Roman" w:eastAsia="Times New Roman" w:hAnsi="Times New Roman" w:cs="Times New Roman"/>
          <w:color w:val="000000"/>
          <w:sz w:val="21"/>
          <w:szCs w:val="21"/>
        </w:rPr>
        <w:t xml:space="preserve">Alternate Email for Title IX Reports: </w:t>
      </w:r>
      <w:hyperlink r:id="rId11" w:history="1">
        <w:r w:rsidRPr="003B0509">
          <w:rPr>
            <w:rStyle w:val="Hyperlink"/>
            <w:rFonts w:ascii="Times New Roman" w:eastAsia="Times New Roman" w:hAnsi="Times New Roman" w:cs="Times New Roman"/>
            <w:sz w:val="21"/>
            <w:szCs w:val="21"/>
          </w:rPr>
          <w:t>titleix@ualr.edu</w:t>
        </w:r>
      </w:hyperlink>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Website: </w:t>
      </w:r>
      <w:hyperlink r:id="rId12" w:history="1">
        <w:r w:rsidRPr="003B0509">
          <w:rPr>
            <w:rStyle w:val="Hyperlink"/>
            <w:rFonts w:ascii="Times New Roman" w:eastAsia="Times New Roman" w:hAnsi="Times New Roman" w:cs="Times New Roman"/>
            <w:sz w:val="21"/>
            <w:szCs w:val="21"/>
          </w:rPr>
          <w:t>https://ualr.edu/titleix/</w:t>
        </w:r>
      </w:hyperlink>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Title IX Incident Report Form: </w:t>
      </w:r>
      <w:hyperlink r:id="rId13" w:history="1">
        <w:r w:rsidRPr="003B0509">
          <w:rPr>
            <w:rStyle w:val="Hyperlink"/>
            <w:rFonts w:ascii="Times New Roman" w:eastAsia="Times New Roman" w:hAnsi="Times New Roman" w:cs="Times New Roman"/>
            <w:sz w:val="21"/>
            <w:szCs w:val="21"/>
          </w:rPr>
          <w:t>https://ualr.edu/policy/title-ix-form/</w:t>
        </w:r>
      </w:hyperlink>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u w:val="single"/>
          <w:bdr w:val="none" w:sz="0" w:space="0" w:color="auto" w:frame="1"/>
        </w:rPr>
        <w:t>Deputy Title IX Coordinator</w:t>
      </w:r>
      <w:r w:rsidRPr="003B0509">
        <w:rPr>
          <w:rFonts w:ascii="Times New Roman" w:eastAsia="Times New Roman" w:hAnsi="Times New Roman" w:cs="Times New Roman"/>
          <w:color w:val="000000"/>
          <w:sz w:val="21"/>
          <w:szCs w:val="21"/>
        </w:rPr>
        <w:br/>
        <w:t>Karen Baker</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Employee Relations Manager</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Department of Human Resources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University Services Building, Suite 100</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Office: 501.683.4458</w:t>
      </w:r>
    </w:p>
    <w:p w:rsidR="003B0509" w:rsidRPr="003B0509" w:rsidRDefault="003B0509" w:rsidP="003B0509">
      <w:pPr>
        <w:spacing w:line="315" w:lineRule="atLeast"/>
        <w:textAlignment w:val="baseline"/>
        <w:rPr>
          <w:rStyle w:val="Hyperlink"/>
          <w:rFonts w:ascii="Times New Roman" w:eastAsia="Times New Roman" w:hAnsi="Times New Roman" w:cs="Times New Roman"/>
          <w:sz w:val="21"/>
          <w:szCs w:val="21"/>
        </w:rPr>
      </w:pPr>
      <w:r w:rsidRPr="003B0509">
        <w:rPr>
          <w:rFonts w:ascii="Times New Roman" w:eastAsia="Times New Roman" w:hAnsi="Times New Roman" w:cs="Times New Roman"/>
          <w:color w:val="000000"/>
          <w:sz w:val="21"/>
          <w:szCs w:val="21"/>
        </w:rPr>
        <w:t>Email: </w:t>
      </w:r>
      <w:hyperlink r:id="rId14" w:history="1">
        <w:r w:rsidRPr="003B0509">
          <w:rPr>
            <w:rStyle w:val="Hyperlink"/>
            <w:rFonts w:ascii="Times New Roman" w:eastAsia="Times New Roman" w:hAnsi="Times New Roman" w:cs="Times New Roman"/>
            <w:sz w:val="21"/>
            <w:szCs w:val="21"/>
          </w:rPr>
          <w:t>knbaker@ualr.edu</w:t>
        </w:r>
      </w:hyperlink>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u w:val="single"/>
          <w:bdr w:val="none" w:sz="0" w:space="0" w:color="auto" w:frame="1"/>
        </w:rPr>
        <w:t>Deputy Title IX Coordinator</w:t>
      </w:r>
      <w:r w:rsidRPr="003B0509">
        <w:rPr>
          <w:rFonts w:ascii="Times New Roman" w:eastAsia="Times New Roman" w:hAnsi="Times New Roman" w:cs="Times New Roman"/>
          <w:color w:val="000000"/>
          <w:sz w:val="21"/>
          <w:szCs w:val="21"/>
        </w:rPr>
        <w:br/>
        <w:t>Dr. Richard E. Harper, II</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Dean of Students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Division of Student Affairs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Office: 501.569.3328</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Email: </w:t>
      </w:r>
      <w:hyperlink r:id="rId15" w:history="1">
        <w:r w:rsidRPr="003B0509">
          <w:rPr>
            <w:rStyle w:val="Hyperlink"/>
            <w:rFonts w:ascii="Times New Roman" w:eastAsia="Times New Roman" w:hAnsi="Times New Roman" w:cs="Times New Roman"/>
            <w:sz w:val="21"/>
            <w:szCs w:val="21"/>
          </w:rPr>
          <w:t>reharper@ualr.edu</w:t>
        </w:r>
      </w:hyperlink>
    </w:p>
    <w:p w:rsidR="003B0509" w:rsidRPr="003B0509" w:rsidRDefault="003B0509" w:rsidP="003B0509">
      <w:pPr>
        <w:spacing w:line="315" w:lineRule="atLeast"/>
        <w:textAlignment w:val="baseline"/>
        <w:rPr>
          <w:rFonts w:ascii="Times New Roman" w:eastAsia="Times New Roman" w:hAnsi="Times New Roman" w:cs="Times New Roman"/>
          <w:b/>
          <w:bCs/>
          <w:color w:val="000000"/>
          <w:sz w:val="21"/>
          <w:szCs w:val="21"/>
          <w:u w:val="single"/>
          <w:bdr w:val="none" w:sz="0" w:space="0" w:color="auto" w:frame="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u w:val="single"/>
          <w:bdr w:val="none" w:sz="0" w:space="0" w:color="auto" w:frame="1"/>
        </w:rPr>
        <w:t>Deputy Title IX Coordinator</w:t>
      </w:r>
      <w:r w:rsidRPr="003B0509">
        <w:rPr>
          <w:rFonts w:ascii="Times New Roman" w:eastAsia="Times New Roman" w:hAnsi="Times New Roman" w:cs="Times New Roman"/>
          <w:color w:val="000000"/>
          <w:sz w:val="21"/>
          <w:szCs w:val="21"/>
        </w:rPr>
        <w:br/>
        <w:t>Maggie Strange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Director of Athletic Academic Services/ Interim Senior Women Administrator</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Department of Athletics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Office: 501.569.3448</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 xml:space="preserve">Email: </w:t>
      </w:r>
      <w:hyperlink r:id="rId16" w:history="1">
        <w:r w:rsidRPr="003B0509">
          <w:rPr>
            <w:rStyle w:val="Hyperlink"/>
            <w:rFonts w:ascii="Times New Roman" w:eastAsia="Times New Roman" w:hAnsi="Times New Roman" w:cs="Times New Roman"/>
            <w:sz w:val="21"/>
            <w:szCs w:val="21"/>
          </w:rPr>
          <w:t>mestrange@ualr.edu</w:t>
        </w:r>
      </w:hyperlink>
      <w:r w:rsidRPr="003B0509">
        <w:rPr>
          <w:rFonts w:ascii="Times New Roman" w:eastAsia="Times New Roman" w:hAnsi="Times New Roman" w:cs="Times New Roman"/>
          <w:color w:val="000000"/>
          <w:sz w:val="21"/>
          <w:szCs w:val="21"/>
        </w:rPr>
        <w:t xml:space="preserve"> </w:t>
      </w:r>
      <w:r w:rsidRPr="003B0509">
        <w:rPr>
          <w:rFonts w:ascii="Times New Roman" w:hAnsi="Times New Roman" w:cs="Times New Roman"/>
        </w:rPr>
        <w:tab/>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u w:val="single"/>
          <w:bdr w:val="none" w:sz="0" w:space="0" w:color="auto" w:frame="1"/>
        </w:rPr>
        <w:t>Deputy Title IX Coordinator</w:t>
      </w:r>
      <w:r w:rsidRPr="003B0509">
        <w:rPr>
          <w:rFonts w:ascii="Times New Roman" w:eastAsia="Times New Roman" w:hAnsi="Times New Roman" w:cs="Times New Roman"/>
          <w:color w:val="000000"/>
          <w:sz w:val="21"/>
          <w:szCs w:val="21"/>
        </w:rPr>
        <w:br/>
        <w:t>Rejena Grotjohn</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Assistant Dean for Student Affairs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William H. Bowen School of Law</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Office: 501.683.4884</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Email: </w:t>
      </w:r>
      <w:hyperlink r:id="rId17" w:history="1">
        <w:r w:rsidRPr="003B0509">
          <w:rPr>
            <w:rStyle w:val="Hyperlink"/>
            <w:rFonts w:ascii="Times New Roman" w:eastAsia="Times New Roman" w:hAnsi="Times New Roman" w:cs="Times New Roman"/>
            <w:sz w:val="21"/>
            <w:szCs w:val="21"/>
          </w:rPr>
          <w:t>rsgrotjohn@ualr.edu</w:t>
        </w:r>
      </w:hyperlink>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Filing Report with Local Law Enforcement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some instances, sexual misconduct may constitute both a violation of university policy and criminal activity. The university grievance process is not a substitute for instituting legal action by any party. The university encourages individuals to report alleged sexual misconduct promptly to campus officials AND to law enforcement authorities, when appropriate. Individuals may file a report directly with local law enforcement agencies by dialing 911. Individuals may also contact any of the following for assistance in filing a report with local law enforcement.</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University Department of Public Safety</w:t>
      </w:r>
      <w:r w:rsidRPr="003B0509">
        <w:rPr>
          <w:rFonts w:ascii="Times New Roman" w:eastAsia="Times New Roman" w:hAnsi="Times New Roman" w:cs="Times New Roman"/>
          <w:color w:val="000000"/>
          <w:sz w:val="21"/>
          <w:szCs w:val="21"/>
        </w:rPr>
        <w:br/>
        <w:t>University Plaza, Suite 700</w:t>
      </w:r>
      <w:r w:rsidRPr="003B0509">
        <w:rPr>
          <w:rFonts w:ascii="Times New Roman" w:eastAsia="Times New Roman" w:hAnsi="Times New Roman" w:cs="Times New Roman"/>
          <w:color w:val="000000"/>
          <w:sz w:val="21"/>
          <w:szCs w:val="21"/>
        </w:rPr>
        <w:br/>
        <w:t>501.569.3400</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City/County Police Department</w:t>
      </w:r>
      <w:r w:rsidRPr="003B0509">
        <w:rPr>
          <w:rFonts w:ascii="Times New Roman" w:eastAsia="Times New Roman" w:hAnsi="Times New Roman" w:cs="Times New Roman"/>
          <w:color w:val="000000"/>
          <w:sz w:val="21"/>
          <w:szCs w:val="21"/>
        </w:rPr>
        <w:br/>
        <w:t>Emergencies: 911</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Little Rock Police Department</w:t>
      </w:r>
      <w:r w:rsidRPr="003B0509">
        <w:rPr>
          <w:rFonts w:ascii="Times New Roman" w:eastAsia="Times New Roman" w:hAnsi="Times New Roman" w:cs="Times New Roman"/>
          <w:color w:val="000000"/>
          <w:sz w:val="21"/>
          <w:szCs w:val="21"/>
        </w:rPr>
        <w:br/>
        <w:t>501.371.4621</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highlight w:val="yellow"/>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Pulaski County Sherriff’s Department</w:t>
      </w:r>
      <w:r w:rsidRPr="003B0509">
        <w:rPr>
          <w:rFonts w:ascii="Times New Roman" w:eastAsia="Times New Roman" w:hAnsi="Times New Roman" w:cs="Times New Roman"/>
          <w:color w:val="000000"/>
          <w:sz w:val="21"/>
          <w:szCs w:val="21"/>
        </w:rPr>
        <w:br/>
        <w:t>501.340.6600</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highlight w:val="yellow"/>
        </w:rPr>
      </w:pPr>
    </w:p>
    <w:p w:rsidR="003B0509" w:rsidRPr="003B0509" w:rsidRDefault="003B0509" w:rsidP="003B0509">
      <w:pPr>
        <w:spacing w:line="315" w:lineRule="atLeast"/>
        <w:textAlignment w:val="baseline"/>
        <w:rPr>
          <w:rFonts w:ascii="Times New Roman" w:eastAsia="Times New Roman" w:hAnsi="Times New Roman" w:cs="Times New Roman"/>
          <w:b/>
          <w:color w:val="000000"/>
          <w:sz w:val="21"/>
          <w:szCs w:val="21"/>
        </w:rPr>
      </w:pPr>
      <w:r w:rsidRPr="003B0509">
        <w:rPr>
          <w:rFonts w:ascii="Times New Roman" w:eastAsia="Times New Roman" w:hAnsi="Times New Roman" w:cs="Times New Roman"/>
          <w:b/>
          <w:color w:val="000000"/>
          <w:sz w:val="21"/>
          <w:szCs w:val="21"/>
        </w:rPr>
        <w:t>Benton Police Department</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501.778.1171</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highlight w:val="yellow"/>
        </w:rPr>
      </w:pPr>
    </w:p>
    <w:p w:rsidR="003B0509" w:rsidRPr="003B0509" w:rsidRDefault="003B0509" w:rsidP="003B0509">
      <w:pPr>
        <w:spacing w:line="315" w:lineRule="atLeast"/>
        <w:textAlignment w:val="baseline"/>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Preserving Evidence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It is important that evidence of sexual assault be preserved because it may be needed for prosecuting the criminal case. Victims and others should not alter the scene of the attack. The victim should not change clothes, bathe or shower, drink or eat anything, or brush his or her teeth before reporting the assault. Any items worn by the victim during the assault, but are not currently being worn, and any materials encountered during the assault (i.e., bed sheets, blankets, etc.) should be placed in a paper bag and brought along with the victim to a local hospital emergency department that has kits to collect and preserve evidence of rape and sexual assault.</w:t>
      </w:r>
    </w:p>
    <w:p w:rsidR="003B0509" w:rsidRPr="003B0509" w:rsidRDefault="003B0509" w:rsidP="003B0509">
      <w:pPr>
        <w:spacing w:line="315" w:lineRule="atLeast"/>
        <w:textAlignment w:val="baseline"/>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lastRenderedPageBreak/>
        <w:t>Anonymous Reports</w:t>
      </w:r>
    </w:p>
    <w:p w:rsidR="003B0509" w:rsidRPr="003B0509" w:rsidRDefault="003B0509" w:rsidP="003B0509">
      <w:pPr>
        <w:spacing w:line="315" w:lineRule="atLeast"/>
        <w:textAlignment w:val="baseline"/>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000000"/>
          <w:sz w:val="21"/>
          <w:szCs w:val="21"/>
        </w:rPr>
        <w:t xml:space="preserve">An individual may anonymously report prohibited conduct to the university by contacting the Title IX Coordinator. Depending on the amount of information available about the incident and/or the individuals involved, the university’s ability to respond to an anonymous report may be limited. The university will attempt to take appropriate steps to protect the safety of the university community based on the information reasonably available. </w:t>
      </w:r>
    </w:p>
    <w:p w:rsidR="003B0509" w:rsidRPr="003B0509" w:rsidRDefault="003B0509" w:rsidP="003B0509">
      <w:pPr>
        <w:spacing w:line="315" w:lineRule="atLeast"/>
        <w:textAlignment w:val="baseline"/>
        <w:rPr>
          <w:rFonts w:ascii="Times New Roman" w:eastAsia="Times New Roman" w:hAnsi="Times New Roman" w:cs="Times New Roman"/>
          <w:color w:val="1E1E1E"/>
          <w:sz w:val="30"/>
          <w:szCs w:val="30"/>
        </w:rPr>
      </w:pPr>
    </w:p>
    <w:p w:rsidR="003B0509" w:rsidRPr="003B0509" w:rsidRDefault="003B0509" w:rsidP="003B0509">
      <w:pPr>
        <w:spacing w:line="315" w:lineRule="atLeast"/>
        <w:textAlignment w:val="baseline"/>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Timeframe for Reporting</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university does not limit the timeframe for reporting prohibited conduct. However, to promote timely and effective review, the university strongly encourages individuals to report prohibited conduct as soon as possible, as a delay in reporting may affect the ability to collect relevant evidence. </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hAnsi="Times New Roman" w:cs="Times New Roman"/>
          <w:sz w:val="21"/>
          <w:szCs w:val="21"/>
        </w:rPr>
      </w:pPr>
      <w:r w:rsidRPr="003B0509">
        <w:rPr>
          <w:rFonts w:ascii="Times New Roman" w:eastAsia="Times New Roman" w:hAnsi="Times New Roman" w:cs="Times New Roman"/>
          <w:color w:val="000000"/>
          <w:sz w:val="21"/>
          <w:szCs w:val="21"/>
        </w:rPr>
        <w:t>If the respondent is no longer a student or employee, or the reported conduct does not fall within the scope of the policy, the university’s ability to respond through its administrative process may be limited. The university will help a complainant identify and access external reporting options, if applicable, and will provide support and resources.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Student and Visitor Responsibility to Report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Students and visitors to the university are strongly encouraged to report allegations of discrimination, harassment, retaliation, and sexual misconduct to the Title IX Coordinator. A report should be made as soon as possible after the incident in order to facilitate an effective response. The longer a report is delayed, the more difficult it will be for the university to investigate. Reports may be made by the person experiencing the misconduct or by a third party, such as a witness or someone who is told of the misconduct.</w:t>
      </w:r>
    </w:p>
    <w:p w:rsidR="003B0509" w:rsidRPr="003B0509" w:rsidRDefault="003B0509" w:rsidP="003B0509">
      <w:pPr>
        <w:spacing w:before="360" w:after="165"/>
        <w:textAlignment w:val="baseline"/>
        <w:outlineLvl w:val="3"/>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1E1E1E"/>
          <w:sz w:val="30"/>
          <w:szCs w:val="30"/>
        </w:rPr>
        <w:t>Mandatory Employee Reporting (Responsible Employees)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Many university employees have been designated as Responsible Employees. Responsible Employees have been given the duty of reporting prohibited conduct covered under this policy. In order to enable the university to respond effectively and to proactively stop instances of discrimination, harassment, retaliation, and sexual misconduct at the university, all employees, including adjunct, hourly, graduate assistants and student employees, as well as volunteer coaches must, within 24 hours of receiving information regarding a potential violation of this policy, report information to the Title IX Coordinator. Only employees who are statutorily prohibited from reporting such information (e.g., licensed health-care professionals) are exempt from these reporting requirements. This policy is not intended to restrict curriculum, prohibit, or abridge the use of particular textbooks or curricular materials.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Responsible Employees Failure to Report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It is imperative that all Responsible Employees abide by their reporting obligations. Thus, any Responsible Employee who is found to have knowingly failed to make a report to the Title IX Coordinator, regarding a </w:t>
      </w:r>
      <w:r w:rsidRPr="003B0509">
        <w:rPr>
          <w:rFonts w:ascii="Times New Roman" w:eastAsia="Times New Roman" w:hAnsi="Times New Roman" w:cs="Times New Roman"/>
          <w:color w:val="000000"/>
          <w:sz w:val="21"/>
          <w:szCs w:val="21"/>
        </w:rPr>
        <w:lastRenderedPageBreak/>
        <w:t>known instance of sexual misconduct or violence, is in violation of this policy and may be subject to disciplinary action.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Reporting Suspected Child Abuse or Neglect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Any university employees and volunteers who suspects or observes a child being harmed should immediately report child maltreatment to the State of Arkansas Child Abuse Hotline at 1.800.482.5964 and to the UA Little Rock Department of Public Safety at 501.569.3400. In addition, pursuant of the State of Arkansas, any member of the university, who has a reason to believe that a child has been abused or neglected, has a mandatory obligation to report that suspicion to the local department of child welfare and local law enforcement. If there is suspected sexual abuse, reports should also be made to the university’s Title IX Coordinator at 501.975.2556. Detailed information regarding reporting suspected child abuse and neglect may be found at </w:t>
      </w:r>
      <w:hyperlink r:id="rId18" w:history="1">
        <w:r w:rsidRPr="003B0509">
          <w:rPr>
            <w:rStyle w:val="Hyperlink"/>
            <w:rFonts w:ascii="Times New Roman" w:eastAsia="Times New Roman" w:hAnsi="Times New Roman" w:cs="Times New Roman"/>
            <w:sz w:val="21"/>
            <w:szCs w:val="21"/>
          </w:rPr>
          <w:t>https://humanservices.arkansas.gov/about-dhs/dcfs/programs-services/child-protective-services-how-to-report-child-abuse-or-neglect</w:t>
        </w:r>
      </w:hyperlink>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Off-Campus Conduct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Conduct that occurs off campus can be the subject of a complaint or report and will be evaluated to determine whether it violates this policy. Allegations of off-campus sexual misconduct are of particular concern and should be brought to the university’s attention.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Amnesty</w:t>
      </w:r>
    </w:p>
    <w:p w:rsidR="003B0509" w:rsidRPr="003B0509" w:rsidRDefault="003B0509" w:rsidP="003B0509">
      <w:pPr>
        <w:spacing w:line="276" w:lineRule="auto"/>
        <w:rPr>
          <w:rFonts w:ascii="Times New Roman" w:hAnsi="Times New Roman" w:cs="Times New Roman"/>
          <w:sz w:val="21"/>
          <w:szCs w:val="21"/>
        </w:rPr>
      </w:pPr>
      <w:r w:rsidRPr="003B0509">
        <w:rPr>
          <w:rFonts w:ascii="Times New Roman" w:hAnsi="Times New Roman" w:cs="Times New Roman"/>
          <w:sz w:val="21"/>
          <w:szCs w:val="21"/>
        </w:rPr>
        <w:t xml:space="preserve">The university encourages reporting of incidents of prohibited conduct and seeks to remove any barriers to reporting. The University recognizes that an individual who has been drinking or using drugs at the time of an incident may be hesitant to make a report because of potential consequences for their own conduct. Individuals who report prohibited conduct or participate as witnesses, will not be subject to disciplinary sanctions for personal consumption of alcohol and/or other substances. </w:t>
      </w:r>
    </w:p>
    <w:p w:rsidR="003B0509" w:rsidRPr="003B0509" w:rsidRDefault="003B0509" w:rsidP="003B0509">
      <w:pPr>
        <w:spacing w:line="276" w:lineRule="auto"/>
        <w:rPr>
          <w:rFonts w:ascii="Times New Roman" w:hAnsi="Times New Roman" w:cs="Times New Roman"/>
          <w:sz w:val="21"/>
          <w:szCs w:val="21"/>
        </w:rPr>
      </w:pPr>
      <w:r w:rsidRPr="003B0509">
        <w:rPr>
          <w:rFonts w:ascii="Times New Roman" w:hAnsi="Times New Roman" w:cs="Times New Roman"/>
          <w:sz w:val="21"/>
          <w:szCs w:val="21"/>
        </w:rPr>
        <w:t>The university may initiate an educational discussion with individuals about their alcohol and/or drug use or may direct these individuals to appropriate services such as counseling for alcohol and/or drug use. Amnesty will not be extended for any violations of University policy other than alcohol/drug use. The use of alcohol, drugs, and/or legally prescribed medication does not justify or excuse behavior that constitutes prohibited conduct under this policy.</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Confidentiality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Subject to the other provisions of this policy and the requirements of law, every possible effort will be made to ensure that all information received as part of the university’s complaint/grievance procedure is treated discreetly. All parties to the complaint are required to maintain the confidentiality of all information received during this process. However, it is not possible to guarantee that all complaints will remain confidential </w:t>
      </w:r>
      <w:r w:rsidRPr="003B0509">
        <w:rPr>
          <w:rFonts w:ascii="Times New Roman" w:eastAsia="Times New Roman" w:hAnsi="Times New Roman" w:cs="Times New Roman"/>
          <w:color w:val="000000"/>
          <w:sz w:val="21"/>
          <w:szCs w:val="21"/>
        </w:rPr>
        <w:lastRenderedPageBreak/>
        <w:t>because of the university’s obligation to investigate allegations of misconduct. All requests to maintain confidentiality shall be directed to the Title IX Coordinator who has the authority to make such determinations.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Except as compelled by law or in the interest of fairness, just resolution, or health and safety considerations, disclosure of information contained in complaints, their substance, procedures, and the results of investigations will be limited to the immediate parties, witnesses, and other appropriate officials. Limited disclosure may also be necessary to conduct a full and impartial investigation.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Availability of Counseling and Advocacy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Counseling and other mental health services for victims of sexual assault are available on campus and in the community. Students and employees may use the Office of Health Services, Donaghey Student Center, Suite 102, 501.569.3188. Mental Health Services are available to students through Counseling Services, Student Services Center, Suite 119, 501.569.3185. Employees of the university can receive counseling through the Employee Assistance Program, 501.686.2588.</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Community mental health agencies, such as Little Rock Community Mental Health, 501.686.9300, and counselors and psychotherapists in private practice in the area can provide individual and group therapy. The Arkansas Coalition Against Sexual Assault (ACASA), Committee Against Spouse Abuse (CASA) Women’s Shelter, or Domestic Violence and Rape Crisis Programs may assist with making referrals for individual counseling and support groups and in identifying non-counseling campus and community resources that may be of additional help and serve as a victim advocate upon request. Additional community resources are identified at </w:t>
      </w:r>
      <w:hyperlink r:id="rId19" w:history="1">
        <w:r w:rsidRPr="003B0509">
          <w:rPr>
            <w:rFonts w:ascii="Times New Roman" w:eastAsia="Times New Roman" w:hAnsi="Times New Roman" w:cs="Times New Roman"/>
            <w:color w:val="6E2639"/>
            <w:sz w:val="21"/>
            <w:szCs w:val="21"/>
            <w:u w:val="single"/>
            <w:bdr w:val="none" w:sz="0" w:space="0" w:color="auto" w:frame="1"/>
          </w:rPr>
          <w:t>ualr.edu/titleix</w:t>
        </w:r>
      </w:hyperlink>
      <w:r w:rsidRPr="003B0509">
        <w:rPr>
          <w:rFonts w:ascii="Times New Roman" w:eastAsia="Times New Roman" w:hAnsi="Times New Roman" w:cs="Times New Roman"/>
          <w:color w:val="000000"/>
          <w:sz w:val="21"/>
          <w:szCs w:val="21"/>
        </w:rPr>
        <w:t>. The use of these or any other resources is at the discretion of the parties.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Education and Awareness Programs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university’s Title IX Coordinator, in conjunction with various departments and organizations at the university, is responsible for planning and coordinating campus education and awareness programs about all forms of sexual assault, including rape, acquaintance rape, domestic violence, dating violence, and other sex offenses. Programs are presented regularly throughout the academic year in residence halls, fraternities, sororities, and for other student organizations, academic classes, employee training and professional development, and in other settings that are likely to reach people throughout the campus community. Campus-wide education and awareness activities are also conducted during Campus Safety Week and Sexual Assault Awareness Month.</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All new employees will receive a copy of this policy and sexual harassment training within 30 days of beginning employment. All employees will receive refresher training at least every other year. Student training is provided online and campus-wide on an on-going basis. All incoming new students (undergraduate, graduate </w:t>
      </w:r>
      <w:r w:rsidRPr="003B0509">
        <w:rPr>
          <w:rFonts w:ascii="Times New Roman" w:eastAsia="Times New Roman" w:hAnsi="Times New Roman" w:cs="Times New Roman"/>
          <w:color w:val="000000"/>
          <w:sz w:val="21"/>
          <w:szCs w:val="21"/>
        </w:rPr>
        <w:lastRenderedPageBreak/>
        <w:t xml:space="preserve">and transfer) are strongly encouraged to participate in the university’s online training that raises awareness about sexual violence, prevention and bystander intervention. </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Policy Expectations with Respect to Consensual Relationships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There are inherent risks in any romantic or sexual relationship between individuals in unequal positions (such as teacher and student, or supervisor and employee). These relationships may be less consensual than perceived by the individual whose position confers power. The relationship also may be viewed in different ways by each of the parties, particularly in retrospect. Furthermore, circumstances may change, and conduct that was previously welcome may become unwelcome. Even when both parties have consented at the outset to a romantic or sexual involvement, this past consent may not remove grounds for a later charge of a violation of policy.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does not wish to interfere with private choices regarding personal relationships when those relationships do not interfere with the goals and policies of the university. However, for the personal protection of members of this community, relationships in which power differentials are inherent (faculty-student, staff-student, administrator-student, or supervisor-employee) are regarded as inappropriate, are strongly advised against, and are inherently suspect in the event of a dispute.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Consensual romantic or sexual relationships in which one party maintains a direct supervisory or evaluative role over the other party are unethical. Therefore, persons with direct supervisory or evaluative responsibilities who are involved in such relationships must bring those relationships to the timely attention of their supervisors. This will likely result in the necessity to remove the employee from the supervisory or evaluative responsibilities, or will shift the student or employee out of being supervised or evaluated by someone with whom he or she has established a consensual relationship. Failure to self-report such relationships to a supervisor as required can result in disciplinary action for an employee, up to and including termination.</w:t>
      </w: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COMPLAINT/GRIEVANCE PROCEDURE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These procedures are intended to apply to all grievances involving discrimination, harassment, retaliation, and sexual misconduct as described in this policy, including but not limited to those brought by a student against an employee and/or fellow student, employee against fellow employee and/or student, and third party against employee and/or student. All other grievances by students, employees, or third parties shall be addressed through other grievance procedures. The university benefits from formal and informal procedures that encourage prompt resolution of complaints and concerns raised by members of the university community.</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lastRenderedPageBreak/>
        <w:t>Informal Complaint Process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university does not require a complainant to utilize the informal complaint process if doing so is impracticable or unsafe, or if the complainant believes that the conduct cannot be effectively addressed through informal means. For example, the informal complaint process should not be used to address allegations of sexual assault. However, in other circumstances where it is practical and safe to do so, every reasonable effort should be made to constructively resolve issues with students, faculty, staff, and administrators before pursuing the formal complaint process. Under the informal complaint process, a complainant may elect to resolve his or her complaint by discussing it with the offending party. If the offending party is an employee and satisfactory resolution cannot be reached after discussion, the complainant may also contact the individual’s direct supervisor to resolve the complaint. If these efforts are unsuccessful, the formal complaint process may be initiated.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An informal complaint process may include establishing interim measures, conducting targeted or broad-based educational programming or training, increased supervision, mediation and/or any other remedy that can be tailored to the situation to transform the environment, prevent recurrence of the issues and remedy the effects of the particular complaint. For example, if a complainant requests to be removed from a course with the respondent to avoid uncomfortable interactions, the Title IX Coordinator could consider this request without the necessity of imposing on the respondent.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informal complaint process does not involve an investigation or formal disciplinary action against the respondent and is not appropriate for all forms of reported prohibited conduct. The university retains the sole discretion in determining whether a case can be appropriately addressed informally.</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Formal Complaint Process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Upon receiving a report of alleged or possible violation of this policy, the Title IX Coordinator will evaluate the information received and determine what further actions should be taken. The Title IX Coordinator will follow the procedures described in this policy. The Title IX Coordinator will take steps, either directly with the complainant or through a reporting employee, to provide information about the university’s complaint/grievance procedure, as well as available health and advocacy resources and options for criminal reporting.</w:t>
      </w: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INVESTIGATION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Title IX Coordinator will be responsible for overseeing the prompt, fair, and impartial investigation and resolution of complaints filed with the university. The Title IX Coordinator or his or her designee will investigate all complaints of discrimination, harassment, retaliation, and sexual misconduct and determine any accommodations or other remedial short-term actions necessary in light of the individual circumstances presented.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 xml:space="preserve">During the investigation, the complainant and respondent will have an equal opportunity to be heard, to submit information/documentation, and to identify witnesses who may have relevant information/documentation. The investigator will speak separately with the complainant, the respondent and any other individuals who have information relevant to the determination of whether a policy violation occurred.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or his or her designee will apprise the head of the appropriate division or department of the complaint, or, if the complaint is against a student, the vice provost for student affairs and dean of students.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or his or her designee, who will have been properly trained, will:</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Identify the correct policies allegedly violated.</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Conduct an immediate initial investigation to determine if there is reasonable cause to charge the respondent(s).</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Meet with the complainant to finalize the complaint.</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Prepare the Notice of Investigation (NOI) based on initial investigation.</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Develop a strategic investigation plan, which may include a witness list, an evidence list, an intended timeframe, and an order of interviews for all witnesses, including the respondent.</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Conduct a thorough, reliable, and impartial investigation during which witnesses may or may not be given notice prior to the interview.</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Complete the investigation promptly, and without unreasonable deviation from the intended timeline.</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Make a written finding on the case, based on a preponderance of the evidence, which indicates that it is more likely than not that a policy violation has or has not occurred, and identifies appropriate remedies and/or sanctions, if any.</w:t>
      </w:r>
    </w:p>
    <w:p w:rsidR="003B0509" w:rsidRPr="003B0509" w:rsidRDefault="003B0509" w:rsidP="003B0509">
      <w:pPr>
        <w:numPr>
          <w:ilvl w:val="0"/>
          <w:numId w:val="10"/>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Prepare a complete report on the investigation and findings.</w:t>
      </w:r>
    </w:p>
    <w:p w:rsidR="003B0509" w:rsidRPr="003B0509" w:rsidRDefault="003B0509" w:rsidP="003B0509">
      <w:pPr>
        <w:spacing w:line="315" w:lineRule="atLeast"/>
        <w:ind w:left="525"/>
        <w:textAlignment w:val="baseline"/>
        <w:rPr>
          <w:rFonts w:ascii="Times New Roman" w:eastAsia="Times New Roman" w:hAnsi="Times New Roman" w:cs="Times New Roman"/>
          <w:color w:val="000000"/>
          <w:sz w:val="21"/>
          <w:szCs w:val="21"/>
        </w:rPr>
      </w:pP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As noted above, an investigation of the complaint will be conducted by the Title IX Coordinator or his or her designee unless it is clear from the face of the complaint or the Title IX Coordinator’s initial meetings with the parties that no reasonable grounds exist for believing that the conduct at issue violates this policy.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the event that the complaint was made by someone other than the alleged victim, the Title IX Coordinator will consider the following factors in determining whether it is reasonable to investigate the complaint:</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source and nature of the information.</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seriousness of the alleged incident.</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specificity of the information.</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objectivity and credibility of the source of the information.</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Whether the alleged victims can be identified.</w:t>
      </w:r>
    </w:p>
    <w:p w:rsidR="003B0509" w:rsidRPr="003B0509" w:rsidRDefault="003B0509" w:rsidP="003B0509">
      <w:pPr>
        <w:numPr>
          <w:ilvl w:val="0"/>
          <w:numId w:val="11"/>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Whether those individuals wish to pursue the matter.</w:t>
      </w:r>
    </w:p>
    <w:p w:rsidR="003B0509" w:rsidRPr="003B0509" w:rsidRDefault="003B0509" w:rsidP="003B0509">
      <w:pPr>
        <w:spacing w:line="315" w:lineRule="atLeast"/>
        <w:ind w:left="525"/>
        <w:textAlignment w:val="baseline"/>
        <w:rPr>
          <w:rFonts w:ascii="Times New Roman" w:eastAsia="Times New Roman" w:hAnsi="Times New Roman" w:cs="Times New Roman"/>
          <w:color w:val="000000"/>
          <w:sz w:val="21"/>
          <w:szCs w:val="21"/>
        </w:rPr>
      </w:pP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In the event that the Title IX Coordinator determines that an investigation of the complaint should not be conducted, he or she will determine and document (in consultation, as necessary, with the alleged victim, the respondent and any other university administrators) the appropriate resolution of the complaint and inform the parties of the same.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With all complaints, if the Title IX Coordinator determines that an investigation should be conducted, the Title IX Coordinator will promptly investigate the matter. The existence of concurrent criminal investigations or proceedings shall not delay the investigation of any complaint filed under this policy. All students, faculty and staff are expected to cooperate with an investigation of any report of prohibited conduct to assure fairness and procedural due process. Both the complainant and respondent may decline to participate in proceedings. The Title IX Coordinator will determine whether the investigation and/or adjudication will proceed without the complainant and/or respondent.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If another individual is designated to investigate the matter, the Title IX Coordinator will share the investigator’s name and contact information with the alleged victim and the respondent and will forward the complaint to the investigator. Within three (3) days of such appointment, the investigator, the alleged victim, or the respondent may identify to the Title IX Coordinator in writing any real or perceived conflicts of interest posed by assigning such investigator to the matter. The Title IX Coordinator will carefully consider such statements and will assign a different individual as investigator if it is determined that a material conflict of interest exists. Failure to submit a timely and proper objection constitutes a waiver of any right of objection to the composition of the assigned Investigators. Upon receipt of the complaint, the Title IX Coordinator or his or her designee will promptly begin the investigation, which shall include but is not limited to the following:</w:t>
      </w:r>
    </w:p>
    <w:p w:rsidR="003B0509" w:rsidRPr="003B0509" w:rsidRDefault="003B0509" w:rsidP="003B0509">
      <w:pPr>
        <w:numPr>
          <w:ilvl w:val="0"/>
          <w:numId w:val="12"/>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Conducting interviews with the complainant, the alleged victim (if not the complainant), the respondent, and third party witnesses (including expert witnesses, where applicable), and summarizing such interviews in written form.</w:t>
      </w:r>
    </w:p>
    <w:p w:rsidR="003B0509" w:rsidRPr="003B0509" w:rsidRDefault="003B0509" w:rsidP="003B0509">
      <w:pPr>
        <w:numPr>
          <w:ilvl w:val="0"/>
          <w:numId w:val="12"/>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Where applicable, visiting, inspecting, and taking photographs at relevant sites.</w:t>
      </w:r>
    </w:p>
    <w:p w:rsidR="003B0509" w:rsidRPr="003B0509" w:rsidRDefault="003B0509" w:rsidP="003B0509">
      <w:pPr>
        <w:numPr>
          <w:ilvl w:val="0"/>
          <w:numId w:val="12"/>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Where applicable, collecting and preserving relevant evidence (in cases of corresponding criminal reports, this step may be coordinated with law enforcement agencies).</w:t>
      </w:r>
    </w:p>
    <w:p w:rsidR="003B0509" w:rsidRPr="003B0509" w:rsidRDefault="003B0509" w:rsidP="003B0509">
      <w:pPr>
        <w:spacing w:line="315" w:lineRule="atLeast"/>
        <w:ind w:left="525"/>
        <w:textAlignment w:val="baseline"/>
        <w:rPr>
          <w:rFonts w:ascii="Times New Roman" w:eastAsia="Times New Roman" w:hAnsi="Times New Roman" w:cs="Times New Roman"/>
          <w:color w:val="000000"/>
          <w:sz w:val="21"/>
          <w:szCs w:val="21"/>
        </w:rPr>
      </w:pP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Throughout the investigation, the Title IX Coordinator will remain neutral. The Title IX Coordinator should obtain, where applicable and where possible, the written consent of any third-party witnesses to the disclosure, as contemplated by this policy, of any personally identifiable information contained in the complaint, the investigative report, and for any other documents the disclosure of which is contemplated by this policy in order to further the resolution of the complaints. </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Initial Meeting with Complainant and/or Alleged Victim</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As soon as is practicable, the Title IX Coordinator will contact the complainant and the alleged victim (if not the complainant) to schedule an initial meeting to, as applicable:</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Provide a copy of this policy.</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Provide a copy of the </w:t>
      </w:r>
      <w:hyperlink r:id="rId20" w:history="1">
        <w:r w:rsidRPr="003B0509">
          <w:rPr>
            <w:rFonts w:ascii="Times New Roman" w:eastAsia="Times New Roman" w:hAnsi="Times New Roman" w:cs="Times New Roman"/>
            <w:color w:val="6E2639"/>
            <w:sz w:val="21"/>
            <w:szCs w:val="21"/>
            <w:u w:val="single"/>
            <w:bdr w:val="none" w:sz="0" w:space="0" w:color="auto" w:frame="1"/>
          </w:rPr>
          <w:t>Discrimination, Harassment, and Sexual Misconduct Complaint Form</w:t>
        </w:r>
      </w:hyperlink>
      <w:r w:rsidRPr="003B0509">
        <w:rPr>
          <w:rFonts w:ascii="Times New Roman" w:eastAsia="Times New Roman" w:hAnsi="Times New Roman" w:cs="Times New Roman"/>
          <w:color w:val="000000"/>
          <w:sz w:val="21"/>
          <w:szCs w:val="21"/>
        </w:rPr>
        <w:t> on which the complainant may, if he or she agrees to disclose the information, provide details regarding the allegation, including the name of the respondent and the date, location, and general nature of the alleged violation of policy (the complaint form may be completed by complainant or dictated to the Title IX Coordinator, who will confirm the accuracy of his or her documentation with the complainant).</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Explain avenues for resolution.</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Explain the steps involved in an investigation under this policy.</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Discuss confidentiality standards and concerns.</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Determine whether the complainant or the alleged victim (if not the complainant) wish to pursue a resolution through the university or no resolution of any kind.</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Refer to law enforcement, counseling, medical, academic, or other resources, as appropriate.</w:t>
      </w:r>
    </w:p>
    <w:p w:rsidR="003B0509" w:rsidRPr="003B0509" w:rsidRDefault="003B0509" w:rsidP="003B0509">
      <w:pPr>
        <w:numPr>
          <w:ilvl w:val="0"/>
          <w:numId w:val="13"/>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Discuss, as appropriate, possible interim measures that can be provided during the pendency of the investigative and resolution processes.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Complainant Requests for Confidentiality or No University Action</w:t>
      </w:r>
    </w:p>
    <w:p w:rsidR="003B0509" w:rsidRPr="003B0509" w:rsidRDefault="003B0509" w:rsidP="003B0509">
      <w:pPr>
        <w:spacing w:line="276" w:lineRule="auto"/>
        <w:rPr>
          <w:rFonts w:ascii="Times New Roman" w:hAnsi="Times New Roman" w:cs="Times New Roman"/>
          <w:color w:val="1E1E1E"/>
          <w:sz w:val="21"/>
          <w:szCs w:val="21"/>
        </w:rPr>
      </w:pPr>
      <w:r w:rsidRPr="003B0509">
        <w:rPr>
          <w:rFonts w:ascii="Times New Roman" w:hAnsi="Times New Roman" w:cs="Times New Roman"/>
          <w:sz w:val="21"/>
          <w:szCs w:val="21"/>
        </w:rPr>
        <w:t>A complainant may request that his or her identity is not disclosed to anyone else; including the respondent or that, the university not investigate or take action. While such request may limit the university’s ability to address and respond to the reported prohibited conduct, in consultation with the Title IX Coordinator, the request will be taken into consideration and weighed against the university’s responsibility to provide a safe and non-discriminatory environment for all community members. However, the university will endeavor to honor any request, whenever possible, considering the totality of the circumstances. In limited circumstances, the university may be required to investigate when an incident involves a weapon or predatory drug use, when multiple victims are involved or when there is a danger to the community. The university will promptly notify the complainant whether the request can be honored, and, if not, the reasons why it cannot be honored. At that time, appropriate interim measures will be discussed.</w:t>
      </w:r>
    </w:p>
    <w:p w:rsidR="003B0509" w:rsidRPr="003B0509" w:rsidRDefault="003B0509" w:rsidP="003B0509">
      <w:pPr>
        <w:spacing w:after="315" w:line="315" w:lineRule="atLeast"/>
        <w:textAlignment w:val="baseline"/>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Initial Meeting with Respondent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If the complainant or alleged victim (if not the complainant) wishes to pursue resolution through the university, or if the university otherwise deems that a further investigation is warranted, as soon as is reasonably practicable after the Title IX Coordinator’s initial meeting with the complainant (and, if applicable, the alleged victim), the Title IX Coordinator will schedule an initial meeting with the respondent. During the initial meeting with the respondent, the investigator will, as applicable:</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Provide sufficient written information, consistent with privacy laws and any request for confidentiality, to allow respondent to address the allegation (e.g., the name of the complainant/alleged victim, the date, location, nature of the alleged violation of policy, etc.).</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Provide a copy of this policy.</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Explain the university’s procedures for resolution of the complaint.</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Explain the steps involved in an investigation under this policy.</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Discuss confidentiality standards and concerns.</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Discuss non-retaliation requirements.</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Inform of any interim measures already determined and being provided to the complainant and/or the alleged victim that would directly affect the respondent (e.g., changing class schedule, moving to an alternate residence hall, etc.).</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Refer to law enforcement, counseling, medical, academic, or other resources, as appropriate.</w:t>
      </w:r>
    </w:p>
    <w:p w:rsidR="003B0509" w:rsidRPr="003B0509" w:rsidRDefault="003B0509" w:rsidP="003B0509">
      <w:pPr>
        <w:numPr>
          <w:ilvl w:val="0"/>
          <w:numId w:val="15"/>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Discuss, as appropriate, possible interim measures that can be provided to the respondent during the pendency of the investigative and resolution processes.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Student Respondent(s) who fail to comply with the request to meet with the Title IX Coordinator will be referred to the Dean of Student’s Office. The failure to meet will be addressed under the provisions of the student handbook and treated as a failure to respond to a summons from a university official.</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Employee Respondents who fail to comply with the request to meet with the Title IX Coordinator will be subject to disciplinary action.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Interim Measures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Unless circumstances dictate otherwise, the Title IX Coordinator will promptly issue a “no contact” order to all parties upon notice of any sexual assault complaint. The complainant or respondent may request interim measures. In </w:t>
      </w:r>
      <w:r w:rsidRPr="003B0509">
        <w:rPr>
          <w:rFonts w:ascii="Times New Roman" w:eastAsia="Times New Roman" w:hAnsi="Times New Roman" w:cs="Times New Roman"/>
          <w:i/>
          <w:iCs/>
          <w:color w:val="000000"/>
          <w:sz w:val="21"/>
          <w:szCs w:val="21"/>
          <w:bdr w:val="none" w:sz="0" w:space="0" w:color="auto" w:frame="1"/>
        </w:rPr>
        <w:t>all</w:t>
      </w:r>
      <w:r w:rsidRPr="003B0509">
        <w:rPr>
          <w:rFonts w:ascii="Times New Roman" w:eastAsia="Times New Roman" w:hAnsi="Times New Roman" w:cs="Times New Roman"/>
          <w:color w:val="000000"/>
          <w:sz w:val="21"/>
          <w:szCs w:val="21"/>
        </w:rPr>
        <w:t xml:space="preserve"> cases, the university may implement any necessary interim measures deemed appropriate and reasonably available, regardless of whether a complaint has been filed (with either campus administrators or law enforcement agencies) or whether an investigation has commenced (by either campus administrators or law enforcement agencies). Interim measures may be modified or discontinued at any time. Interim measures do not indicate the university has made a decision about the report of prohibited conduct. In some cases, the interim measures may be kept in place after a final investigative decision is reached.  </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Interim measures may include but are not limited to:</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Issuing no contact orders.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Providing an escort to ensure that an individual can move safely between classes, work, and/or activities.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Reassigning on-campus housing.</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Dissolving a campus-housing contract and offering a prorated refund.</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Changing work arrangements or location.</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Rescheduling class work, assignments, and examinations.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Arranging for the complainant to take an incomplete in a class.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Reassigning class section.</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Permitting a temporary withdrawal from the university.</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Providing alternative course completion options.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Providing counseling services.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Providing academic support services.</w:t>
      </w:r>
    </w:p>
    <w:p w:rsidR="003B0509" w:rsidRPr="003B0509" w:rsidRDefault="003B0509" w:rsidP="003B0509">
      <w:pPr>
        <w:numPr>
          <w:ilvl w:val="0"/>
          <w:numId w:val="14"/>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Interim suspension</w:t>
      </w:r>
    </w:p>
    <w:p w:rsidR="003B0509" w:rsidRPr="003B0509" w:rsidRDefault="003B0509" w:rsidP="003B0509">
      <w:pPr>
        <w:spacing w:before="360" w:after="165" w:line="276" w:lineRule="auto"/>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000000"/>
          <w:sz w:val="21"/>
          <w:szCs w:val="21"/>
        </w:rPr>
        <w:t>Following the initial meeting with the complainant and the alleged victim (if not the complainant), the Title IX Coordinator will, if applicable, promptly determine the interim measures to be provided to the alleged victim. Such determination will be promptly communicated to the alleged victim, and no later than the point at which it is communicated to the respondent. Failure to comply with interim measures is a separate and independent violation.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Notice of Investigation</w:t>
      </w:r>
    </w:p>
    <w:p w:rsidR="003B0509" w:rsidRPr="003B0509" w:rsidRDefault="003B0509" w:rsidP="003B0509">
      <w:pPr>
        <w:spacing w:line="276" w:lineRule="auto"/>
        <w:rPr>
          <w:rFonts w:ascii="Times New Roman" w:hAnsi="Times New Roman" w:cs="Times New Roman"/>
          <w:color w:val="1E1E1E"/>
          <w:sz w:val="21"/>
          <w:szCs w:val="21"/>
        </w:rPr>
      </w:pPr>
      <w:r w:rsidRPr="003B0509">
        <w:rPr>
          <w:rFonts w:ascii="Times New Roman" w:hAnsi="Times New Roman" w:cs="Times New Roman"/>
          <w:sz w:val="21"/>
          <w:szCs w:val="21"/>
        </w:rPr>
        <w:t>The Title IX Coordinator or his or her designee will send written Notice of Investigation (“NOI”) to the complainant and respondent. The NOI will contain a summary of the allegation(s) or conduct at issue and the range of potential sanctions under the policy. Further, the NOI will include the notice of rights and responsibilities for both the complainant and respondent. If, at any time during the investigation, new information is discovered that warrant new charges to be investigated, a new NOI must be sent to the complainant and respondent outlining the new allegation(s) or conduct. All written notices/communication issued to the complainant and respondent will be hand-delivered, e-mailed, and/or sent by certified mail to the last known mailing address maintained by the university.</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Investigative Report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or his or her designee shall complete a written investigative report (“investigative report”) that shall include the following items:</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name and sex of the alleged victim and, if different, the name and sex of the person reporting the allegation. (It should also include any other relevant protected class characteristics if the complaint involves a violation of this policy based on a protected status other than gender.).</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 statement of the allegation, a description of the incident(s), and the date(s) and time(s) (if known) of the alleged incident(s).</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date that the complaint or other report was made.</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date the complainant and alleged victim (if not the complainant) were interviewed.</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date the respondent was interviewed.</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name and sex of all persons alleged to have committed the alleged violation of this policy. (It should also include any other relevant protected status characteristics if the complaint involves a violation of this policy based on a protected status other than gender.).</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name and sex of all known witnesses to the alleged incident(s).</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dates that any relevant documentary evidence (including cell phone and other records, as appropriate) was obtained.</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Any written statements of the complainant (or alleged victim, if different from the complainant), the respondent and any witnesses.</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Summaries of all interviews conducted, photographs, and descriptions of relevant evidence, summaries of relevant electronic records, and a detailed report of the events in question.</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A written finding on the case, based on a preponderance of the evidence, which indicates whether or not it is more likely than not that, a policy violation has occurred.</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policy or policies violated and, in consultation, as necessary, with the complainant, alleged victim (if different than the complainant), respondent, and other university officials, any remedial and/or disciplinary action deemed appropriate under the circumstances.</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response of university personnel and, if applicable, university-level officials, including any interim measures and permanent steps taken with respect to the complainant, alleged victim (if different than the complainant) and the respondent.</w:t>
      </w:r>
    </w:p>
    <w:p w:rsidR="003B0509" w:rsidRPr="003B0509" w:rsidRDefault="003B0509" w:rsidP="003B0509">
      <w:pPr>
        <w:numPr>
          <w:ilvl w:val="0"/>
          <w:numId w:val="16"/>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 narrative of all action taken to prevent recurrence of any harassing incident(s), including any written documentation.</w:t>
      </w:r>
    </w:p>
    <w:p w:rsidR="003B0509" w:rsidRPr="003B0509" w:rsidRDefault="003B0509" w:rsidP="003B0509">
      <w:pPr>
        <w:spacing w:line="315" w:lineRule="atLeast"/>
        <w:ind w:left="525"/>
        <w:textAlignment w:val="baseline"/>
        <w:rPr>
          <w:rFonts w:ascii="Times New Roman" w:eastAsia="Times New Roman" w:hAnsi="Times New Roman" w:cs="Times New Roman"/>
          <w:color w:val="000000"/>
          <w:sz w:val="21"/>
          <w:szCs w:val="21"/>
        </w:rPr>
      </w:pPr>
    </w:p>
    <w:p w:rsidR="003B0509" w:rsidRPr="003B0509" w:rsidRDefault="003B0509" w:rsidP="003B0509">
      <w:pPr>
        <w:spacing w:after="315" w:line="315" w:lineRule="atLeast"/>
        <w:textAlignment w:val="baseline"/>
        <w:rPr>
          <w:rFonts w:ascii="Times New Roman" w:eastAsia="Times New Roman" w:hAnsi="Times New Roman" w:cs="Times New Roman"/>
          <w:sz w:val="21"/>
          <w:szCs w:val="21"/>
        </w:rPr>
      </w:pPr>
      <w:r w:rsidRPr="003B0509">
        <w:rPr>
          <w:rFonts w:ascii="Times New Roman" w:eastAsia="Times New Roman" w:hAnsi="Times New Roman" w:cs="Times New Roman"/>
          <w:color w:val="000000"/>
          <w:sz w:val="21"/>
          <w:szCs w:val="21"/>
        </w:rPr>
        <w:t xml:space="preserve">If the Title IX Coordinator is unable to obtain the consent of third-party witnesses, he or she will redact the investigative report to the extent necessary to avoid inappropriate disclosure of such witness’s personally identifiable information, while ensuring that such </w:t>
      </w:r>
      <w:r w:rsidRPr="003B0509">
        <w:rPr>
          <w:rFonts w:ascii="Times New Roman" w:eastAsia="Times New Roman" w:hAnsi="Times New Roman" w:cs="Times New Roman"/>
          <w:sz w:val="21"/>
          <w:szCs w:val="21"/>
        </w:rPr>
        <w:t xml:space="preserve">redaction does not prevent resolution of the complaint.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investigator has the discretion to determine the relevance of any witness or other evidence and may exclude information in preparing the investigative report if the information is irrelevant, immaterial or more prejudicial than informative. </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Investigator(s) will provide a draft copy of the Investigative Report to the Title IX Coordinator for review. Before the report is finalized, the complainant and respondent will be given an opportunity to review the redacted draft investigative report. The Title IX Coordinator will send the Notice of Opportunity to Review the Draft Investigative Report to both parties. The Notice of Opportunity to Review includes the draft investigative report and all documents relied upon to make a determination. The complainant and respondent may submit a response and any additional information to the investigator within three (3) days of the date the Draft Investigative Report is sent. The Complainant and/or Respondent may choose to meet with the Investigator(s) prior to the Investigator making a decision on the case. Any additional submissions will be provided to the other party prior to the decision being made and the other party will have three (3) days to respond prior to the decision being made.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sz w:val="21"/>
          <w:szCs w:val="21"/>
        </w:rPr>
        <w:t xml:space="preserve">If the Title IX Coordinator or his or her designee determines and documents, </w:t>
      </w:r>
      <w:r w:rsidRPr="003B0509">
        <w:rPr>
          <w:rFonts w:ascii="Times New Roman" w:eastAsia="Times New Roman" w:hAnsi="Times New Roman" w:cs="Times New Roman"/>
          <w:color w:val="000000"/>
          <w:sz w:val="21"/>
          <w:szCs w:val="21"/>
        </w:rPr>
        <w:t xml:space="preserve">based on the investigation, that reasonable grounds exist to believe that the conduct at issue constitutes a violation of this policy, the three-member sanctioning panel will determine the appropriate remedy and/or sanction to be imposed and will include the appropriate remedy and/or sanction in the investigative report. The three-member sanctioning panel will be composed of the Title IX Coordinator (or designee), a representative from Human Resources, and a representative from Student Affairs.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Title IX Coordinator shall complete and distribute the investigative report, concurrently, to the complainant and respondent within </w:t>
      </w:r>
      <w:r w:rsidRPr="003B0509">
        <w:rPr>
          <w:rFonts w:ascii="Times New Roman" w:eastAsia="Times New Roman" w:hAnsi="Times New Roman" w:cs="Times New Roman"/>
          <w:color w:val="000000"/>
          <w:sz w:val="21"/>
          <w:szCs w:val="21"/>
          <w:u w:val="single"/>
        </w:rPr>
        <w:t>ten (10) days</w:t>
      </w:r>
      <w:r w:rsidRPr="003B0509">
        <w:rPr>
          <w:rFonts w:ascii="Times New Roman" w:eastAsia="Times New Roman" w:hAnsi="Times New Roman" w:cs="Times New Roman"/>
          <w:color w:val="000000"/>
          <w:sz w:val="21"/>
          <w:szCs w:val="21"/>
        </w:rPr>
        <w:t xml:space="preserve"> following the conclusion of the investigation.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If the Title IX Coordinator finds no reasonable grounds to believe that the conduct at issue constitutes a violation of this policy, then the Title IX Coordinator will determine and document the appropriate resolution of the complaint in the investigative report and will promptly notify the parties of that determination.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Sanctions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In determining the appropriate remedy and/or sanction, the university will act to end the discrimination, harassment, retaliation or sexual misconduct, prevent its recurrence and remedy its effects on the victim and/or university community. Sanctions are designed to hold students and employees accountable for their actions and to protect the safety of the university community. Sanctions will depend upon the nature and gravity of the misconduct, any record of prior discipline for a violation of this policy, or both. Sanctions imposed on faculty and staff may include, without limitation, no contact orders, letters of reprimand, demotion, withholding a promotion or pay increase, reassigning employment, terminating employment, temporary suspension without pay, compensation adjustments and/or educational sanctions.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Sanctions, which may be imposed on students, may include, without limitation, no contact orders, expulsion from campus, disciplinary probation, expulsion or suspension from the university, mandated counseling, and/or educational sanctions as deemed appropriate. Imposition of the appropriate remedy and/or sanction will be imposed only after all appeals have been exhausted. Further, the university reserves the right to delay or refuse the conferring of an academic degree (undergraduate or graduate) during a pending investigation.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certain circumstances, even when there are no disciplinary actions or sanctions imposed, the university reserves the right to impose certain conditions, similar to interim measures upon any party who is subject to this policy. These conditions are designed to prevent any prohibited conduct under the policy, cultivate a safe academic and employment environment, while supporting the university’s federal obligations. These conditions are not to be construed as disciplinary or as sanctions.</w:t>
      </w:r>
    </w:p>
    <w:p w:rsidR="003B0509" w:rsidRPr="003B0509" w:rsidRDefault="003B0509" w:rsidP="003B0509">
      <w:pPr>
        <w:pStyle w:val="m-5206225504251839412default"/>
        <w:shd w:val="clear" w:color="auto" w:fill="FFFFFF"/>
        <w:spacing w:before="0" w:beforeAutospacing="0" w:after="0" w:afterAutospacing="0" w:line="276" w:lineRule="atLeast"/>
        <w:ind w:right="34"/>
        <w:rPr>
          <w:color w:val="000000"/>
          <w:sz w:val="30"/>
          <w:szCs w:val="30"/>
        </w:rPr>
      </w:pPr>
      <w:r w:rsidRPr="003B0509">
        <w:rPr>
          <w:bCs/>
          <w:color w:val="211D1E"/>
          <w:sz w:val="30"/>
          <w:szCs w:val="30"/>
        </w:rPr>
        <w:t>Withdrawal or </w:t>
      </w:r>
      <w:r w:rsidRPr="003B0509">
        <w:rPr>
          <w:rStyle w:val="il"/>
          <w:bCs/>
          <w:color w:val="211D1E"/>
          <w:sz w:val="30"/>
          <w:szCs w:val="30"/>
        </w:rPr>
        <w:t>Resignation</w:t>
      </w:r>
      <w:r w:rsidRPr="003B0509">
        <w:rPr>
          <w:bCs/>
          <w:color w:val="211D1E"/>
          <w:sz w:val="30"/>
          <w:szCs w:val="30"/>
        </w:rPr>
        <w:t> While Charges Pending</w:t>
      </w:r>
    </w:p>
    <w:p w:rsidR="003B0509" w:rsidRPr="003B0509" w:rsidRDefault="003B0509" w:rsidP="003B0509">
      <w:pPr>
        <w:pStyle w:val="m-5206225504251839412default"/>
        <w:shd w:val="clear" w:color="auto" w:fill="FFFFFF"/>
        <w:spacing w:before="0" w:beforeAutospacing="0" w:after="0" w:afterAutospacing="0" w:line="276" w:lineRule="atLeast"/>
        <w:ind w:right="34"/>
        <w:rPr>
          <w:color w:val="000000"/>
          <w:sz w:val="21"/>
          <w:szCs w:val="21"/>
        </w:rPr>
      </w:pPr>
      <w:r w:rsidRPr="003B0509">
        <w:rPr>
          <w:b/>
          <w:bCs/>
          <w:color w:val="211D1E"/>
          <w:sz w:val="21"/>
          <w:szCs w:val="21"/>
        </w:rPr>
        <w:t> </w:t>
      </w:r>
    </w:p>
    <w:p w:rsidR="003B0509" w:rsidRPr="003B0509" w:rsidRDefault="003B0509" w:rsidP="003B0509">
      <w:pPr>
        <w:spacing w:line="276" w:lineRule="auto"/>
        <w:rPr>
          <w:rFonts w:ascii="Times New Roman" w:hAnsi="Times New Roman" w:cs="Times New Roman"/>
          <w:color w:val="000000"/>
          <w:sz w:val="21"/>
          <w:szCs w:val="21"/>
        </w:rPr>
      </w:pPr>
      <w:r w:rsidRPr="003B0509">
        <w:rPr>
          <w:rFonts w:ascii="Times New Roman" w:hAnsi="Times New Roman" w:cs="Times New Roman"/>
          <w:sz w:val="21"/>
          <w:szCs w:val="21"/>
          <w:u w:val="single"/>
        </w:rPr>
        <w:t>Students</w:t>
      </w:r>
      <w:r w:rsidRPr="003B0509">
        <w:rPr>
          <w:rFonts w:ascii="Times New Roman" w:hAnsi="Times New Roman" w:cs="Times New Roman"/>
          <w:sz w:val="21"/>
          <w:szCs w:val="21"/>
        </w:rPr>
        <w:t>:</w:t>
      </w:r>
      <w:r w:rsidRPr="003B0509">
        <w:rPr>
          <w:rFonts w:ascii="Times New Roman" w:hAnsi="Times New Roman" w:cs="Times New Roman"/>
          <w:bCs/>
          <w:sz w:val="21"/>
          <w:szCs w:val="21"/>
        </w:rPr>
        <w:t> </w:t>
      </w:r>
      <w:r w:rsidRPr="003B0509">
        <w:rPr>
          <w:rFonts w:ascii="Times New Roman" w:hAnsi="Times New Roman" w:cs="Times New Roman"/>
          <w:color w:val="000000"/>
          <w:sz w:val="21"/>
          <w:szCs w:val="21"/>
        </w:rPr>
        <w:t>Should a student decide to withdraw and/or not participate in the resolution process, the process will nonetheless proceed in the student’s absence. If the student is found to be responsible for violating this policy, that student will not be permitted to return to University, unless all sanctions have been satisfied, with the exception of expulsion from the university.</w:t>
      </w:r>
      <w:r w:rsidRPr="003B0509">
        <w:rPr>
          <w:rFonts w:ascii="Times New Roman" w:hAnsi="Times New Roman" w:cs="Times New Roman"/>
          <w:sz w:val="21"/>
          <w:szCs w:val="21"/>
        </w:rPr>
        <w:t> </w:t>
      </w:r>
    </w:p>
    <w:p w:rsidR="003B0509" w:rsidRPr="003B0509" w:rsidRDefault="003B0509" w:rsidP="003B0509">
      <w:pPr>
        <w:spacing w:line="276" w:lineRule="auto"/>
        <w:rPr>
          <w:rFonts w:ascii="Times New Roman" w:hAnsi="Times New Roman" w:cs="Times New Roman"/>
          <w:color w:val="000000"/>
          <w:sz w:val="21"/>
          <w:szCs w:val="21"/>
        </w:rPr>
      </w:pPr>
      <w:r w:rsidRPr="003B0509">
        <w:rPr>
          <w:rFonts w:ascii="Times New Roman" w:eastAsia="Times New Roman" w:hAnsi="Times New Roman" w:cs="Times New Roman"/>
          <w:sz w:val="21"/>
          <w:szCs w:val="21"/>
          <w:u w:val="single"/>
        </w:rPr>
        <w:t>Employees</w:t>
      </w:r>
      <w:r w:rsidRPr="003B0509">
        <w:rPr>
          <w:rFonts w:ascii="Times New Roman" w:eastAsia="Times New Roman" w:hAnsi="Times New Roman" w:cs="Times New Roman"/>
          <w:sz w:val="21"/>
          <w:szCs w:val="21"/>
        </w:rPr>
        <w:t>: Should an employee resign with unresolved allegations pending, </w:t>
      </w:r>
      <w:r w:rsidRPr="003B0509">
        <w:rPr>
          <w:rFonts w:ascii="Times New Roman" w:eastAsia="Times New Roman" w:hAnsi="Times New Roman" w:cs="Times New Roman"/>
          <w:color w:val="000000"/>
          <w:sz w:val="21"/>
          <w:szCs w:val="21"/>
        </w:rPr>
        <w:t>the records of the </w:t>
      </w:r>
      <w:r w:rsidRPr="003B0509">
        <w:rPr>
          <w:rFonts w:ascii="Times New Roman" w:hAnsi="Times New Roman" w:cs="Times New Roman"/>
          <w:color w:val="000000"/>
          <w:sz w:val="21"/>
          <w:szCs w:val="21"/>
        </w:rPr>
        <w:t xml:space="preserve">Title IX Coordinator </w:t>
      </w:r>
      <w:r w:rsidRPr="003B0509">
        <w:rPr>
          <w:rFonts w:ascii="Times New Roman" w:eastAsia="Times New Roman" w:hAnsi="Times New Roman" w:cs="Times New Roman"/>
          <w:color w:val="000000"/>
          <w:sz w:val="21"/>
          <w:szCs w:val="21"/>
        </w:rPr>
        <w:t>will reflect that status and any</w:t>
      </w:r>
      <w:r w:rsidRPr="003B0509">
        <w:rPr>
          <w:rFonts w:ascii="Times New Roman" w:hAnsi="Times New Roman" w:cs="Times New Roman"/>
          <w:color w:val="000000"/>
          <w:sz w:val="21"/>
          <w:szCs w:val="21"/>
        </w:rPr>
        <w:t xml:space="preserve"> University</w:t>
      </w:r>
      <w:r w:rsidRPr="003B0509">
        <w:rPr>
          <w:rFonts w:ascii="Times New Roman" w:eastAsia="Times New Roman" w:hAnsi="Times New Roman" w:cs="Times New Roman"/>
          <w:color w:val="000000"/>
          <w:sz w:val="21"/>
          <w:szCs w:val="21"/>
        </w:rPr>
        <w:t> responses to future inquiries regarding employment references for that individual will indicate the former employee is ineligible for rehire, if the employee is later found to be responsible for violating this policy.</w:t>
      </w: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APPEAL</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Basis for Appeal</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The party requesting appeal must show error because the original finding and sanction are presumed to have been decided reasonably and appropriately. When submitting a request for appeal, the reason, as defined below, must be clearly stated. Mere dissatisfaction with the findings or the sanctioning decision is not a valid basis for an appeal. The ONLY grounds for appeal are as follows:</w:t>
      </w:r>
    </w:p>
    <w:p w:rsidR="003B0509" w:rsidRPr="003B0509" w:rsidRDefault="003B0509" w:rsidP="003B0509">
      <w:pPr>
        <w:numPr>
          <w:ilvl w:val="0"/>
          <w:numId w:val="17"/>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 procedural error occurred that significantly impacted the outcome of the hearing, including substantiated bias.</w:t>
      </w:r>
    </w:p>
    <w:p w:rsidR="003B0509" w:rsidRPr="003B0509" w:rsidRDefault="003B0509" w:rsidP="003B0509">
      <w:pPr>
        <w:numPr>
          <w:ilvl w:val="0"/>
          <w:numId w:val="17"/>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To consider new evidence, unavailable during the original investigation, that could substantially affect the original finding or sanction. A summary of this new evidence and its potential impact must be included.</w:t>
      </w:r>
    </w:p>
    <w:p w:rsidR="003B0509" w:rsidRPr="003B0509" w:rsidRDefault="003B0509" w:rsidP="003B0509">
      <w:pPr>
        <w:numPr>
          <w:ilvl w:val="0"/>
          <w:numId w:val="17"/>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sanctions imposed are substantially disproportionate to the severity of the violation.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Sanctions During Appeal</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Ordinarily, sanctions will not be imposed until the resolution of any timely appeal under this policy. However, if it is deemed necessary to protect the welfare of the victim or the university community, the hearing panel may recommend and the chancellor or his or her designee may determine that any sanctions be imposed immediately and continue in effect until such time as the appeal process is exhausted.</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Appeal Involving Faculty/Staff</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Where the respondent is a university faculty or staff member, all appeals shall be reviewed by the chancellor or his or her designee. Both the complainant and the respondent may appeal any or all of the sanctioning panel’s decision. The appeal must be made in writing to the Title IX Coordinator within ten (10) days of receipt of the investigation report. The appeal should include a brief statement describing any or all parts of the investigative report that is being appealed and the reason for appeal, as defined above. Acceptable means of notification include email, hand-delivered notification, or postal delivery.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will promptly inform the other party of the appeal, who will have the opportunity to review the appealing party’s written appeal and submit a response within three (3) days. The written response should: (1) address only the issues raised in the other party’s appeal, and (2) be limited to a one-time submission. No additional submissions, beyond the appeal and the response, will be considered. The Title IX Coordinator will submit the appeal and appeal response (if applicable) to the chancellor.</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Within thirty (30) days of receipt of the appeal, the chancellor or his or her designee will make a final determination as to whether the complaint should be closed, whether a violation of policy has occurred, and/or whether any additional or different remedial action or sanctions are warranted. The chancellor or his or her designee will concurrently notify the complainant and the respondent of his or her decision.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All non-tenured faculty and staff members of the university are at-will employees who may be terminated at any time, with or without cause. With regard to such faculty and staff, nothing in this policy shall create an expectation of continued employment with the university or be construed to prevent or delay the university from taking any disciplinary action deemed appropriate (including suspension and immediate termination of employment) for any violation of state law, federal law, or university policy. When the respondent is a faculty member with tenure and the sanction imposed or upheld by the chancellor or his or her designee is dismissal of the respondent’s employment, the matter shall proceed pursuant to Board Policy 405.1.</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Appeal Involving a Student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Where the respondent is a university student, all appeals shall be reviewed by a hearing panel. Both the complainant and the respondent may appeal any or all of the sanctioning panel’s decision. The appeal must be made in writing to the Title IX Coordinator within ten (10) days of receipt of the investigation report.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appeal should include a brief statement describing any or all parts of the investigative report that is being appealed and the reason for appeal, as defined above. Acceptable means of notification include email, facsimile, hand-delivered notification, or postal delivery.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The Title IX Coordinator will promptly inform the other party of the appeal, who will have the opportunity to submit a response within three (3) days. The written response should: (1) address only the issues raised in the other party’s appeal, and (2) be limited to a one-time submission. No additional submissions, beyond the appeal and the response, will be considered. Within three (3) days of receipt of the appeal and appeal response (if applicable), the chancellor or his or her designee will appoint the members of the hearing panel, to include at least three faculty and/or staff members. The chancellor or his or her designee will select one member of the hearing panel to act as the chair. </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Promptly after the appointment of the members of the hearing panel, the Title IX Coordinator will provide concurrent written notice to the complainant and the respondent, setting forth the names of the individuals selected to serve on and chair the hearing panel. If only a portion of the findings and determination are appealed, the Title IX Coordinator will also specify in the notice which part(s) of the alleged misconduct will be the subject of the hearing.</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parties may challenge the participation of any member of the hearing panel by submitting a written objection to the chancellor or his or her designee within three (3) days of receipt of the notice of the composition of the hearing panel. Any objection must state the specific reason(s) for the objection. The chancellor or his or her designee will evaluate the objection and determine whether to alter the composition of the hearing panel. Failure to submit a timely and proper objection will constitute a waiver of any right of objection to the composition of the hearing panel. Any changes in the composition of the hearing panel will be provided in writing to both parties prior to the date of the hearing.</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After the close of the challenge period, the Title IX Coordinator will promptly provide a copy of the complaint, the investigative report, basis for appeal, and response (if applicable) to each member of the hearing panel and, if only a portion of the Title IX Coordinator’s findings and determinations are appealed, the Title IX Coordinator will specify which part(s) of the alleged misconduct will be the subject of the hearing.</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Submission of Written Materials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Within three (3) days of receipt of the notice of the final composition of the hearing panel, the alleged victim and the respondent may provide the chair of the hearing panel with a list of witnesses, if any, that they propose that the hearing panel call, and a brief description of each proposed witness’s connection to and/or knowledge of the issues in dispute, any supporting documents or other evidence, and a written statement of position.</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Notice of the Hearings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Within ten (10) days of receiving the “Submission of Written Materials,” as defined above, the hearing panel will provide a separate notice to the alleged victim, respondent, and any witnesses or other third parties whose testimony the hearing panel deems relevant, requesting such individuals to appear before the hearing panel. The notice should set forth the date, time, and location for the individual’s requested presence. The hearing panel shall provide the names of the witnesses or other third parties that the hearing panel plans to call in its notices to the alleged victim and the respondent.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chair must be notified five (5) business days in advance of the hearing if a party will be accompanied by a support person, as defined on page 19.</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Every effort will be made to conduct the hearing within twenty (20) days of receiving the “Submission of Written Materials.”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Failure to Appear</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If any party fails to appear before the hearing panel if requested to do so, and such party was provided proper notice of the hearing as set forth above, then absent extenuating circumstances, the hearing panel will proceed to determine the resolution of the complaint.</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Evidentiary Matters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complainant and the respondent will have an equal opportunity to present evidence during their hearing. Formal rules of evidence will not be observed during the hearings.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Prior Sexual Conduct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Evidence of the prior sexual conduct of the alleged victim and the respondent with others will not be permitted at the hearings, with the following exceptions:</w:t>
      </w:r>
    </w:p>
    <w:p w:rsidR="003B0509" w:rsidRPr="003B0509" w:rsidRDefault="003B0509" w:rsidP="003B0509">
      <w:pPr>
        <w:numPr>
          <w:ilvl w:val="0"/>
          <w:numId w:val="18"/>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Evidence is permitted to show that the alleged victim has in the past been formally disciplined by the university for falsely filing complaints alleging a violation of this policy.</w:t>
      </w:r>
    </w:p>
    <w:p w:rsidR="003B0509" w:rsidRPr="003B0509" w:rsidRDefault="003B0509" w:rsidP="003B0509">
      <w:pPr>
        <w:numPr>
          <w:ilvl w:val="0"/>
          <w:numId w:val="18"/>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Evidence is permitted to show that the respondent has in the past been either convicted in a criminal proceeding or formally disciplined by the university for conduct, which would violate this policy, if deemed relevant.</w:t>
      </w:r>
    </w:p>
    <w:p w:rsidR="003B0509" w:rsidRPr="003B0509" w:rsidRDefault="003B0509" w:rsidP="003B0509">
      <w:pPr>
        <w:numPr>
          <w:ilvl w:val="0"/>
          <w:numId w:val="18"/>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Evidence regarding the past sexual activity of the respondent (regardless of whether the respondent was formally charged with a violation of the policy with respect to such conduct) may be permitted to show that the respondent has engaged in a pattern of behavior similar to the alleged violations of policy at issue before the hearing panel, provided that (1) the respondent has not been found “not responsible” by the university in a proceeding related to such conduct and (2) the chair has made written findings both that the evidence is reliable and trustworthy and that the conduct is sufficiently and substantially similar to the conduct at issue before the hearing panel to suggest a pattern of behavior.</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Hearing Procedure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hearing panel will conduct a hearing during which it will interview and question the complainant, the alleged victim, the respondent, and any witnesses or other third parties whose testimony the hearing panel deems relevant. The parties will not be allowed to personally question or cross-examine each other during the hearing, but will be allowed to question witnesses. The chair will resolve all questions concerning procedure or the admission of evidence or testimony, including the relevancy and reliability of the evidence and testimony. All participants at the hearing are expected to provide truthful testimony. The complainant and/or alleged victim have the option not to be in the same room with the alleged respondent during the hearing. Any party may choose not to testify or appear before the hearing panel; however, his or her exercise of that option will not preclude the hearing panel from making a determination regarding the complaint filed against the respondent.</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Decision of the Hearing Panel</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Following the conclusion of the hearing, the hearing panel will confer and by majority vote determine whether the evidence (including the information provided in and by the investigative report, the parties’ written statements, if any, the evidence presented at the hearings, and the testimony of the parties and witnesses) establishes that it is more likely than not that the respondent committed a violation of this policy. In other words, the standard of proof will be the preponderance of the evidence. If the hearing panel determines that more likely than not the respondent committed a violation of this policy, the hearing panel will recommend sanctions and give consideration to whether a given sanction will (a) bring an end to the violation in question, (b) reasonably prevent a recurrence of a similar violation, and (c) remedy the effects of the violation.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The hearing panel will forward its decision, including the vote count, and recommendations regarding sanctions to the chancellor or his designee, who will make the final determination regarding all sanctions.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Final Outcome Letter</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Within ten (10) days from receiving the decision from the hearing panel, the chancellor will review the materials and issue a written decision letter (the “final outcome letter”) concurrently to the respondent and the alleged victim (if not the complainant). The final outcome letter will set forth (1) the name of the respondent, (2) the violation(s) of this policy for which the respondent was found responsible, if any, (3) the sanctions imposed on the respondent, if any, and it may set forth names of other individuals, such as a victim or witness, provided that such other individuals provide their written consent to such inclusion.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order to comply with FERPA, the letter will not include information considered part of a party’s “education record” (as that term is defined by FERPA) that is not otherwise exempt from disclosure under the Act, or other information about sanctions that do not relate to the victim.</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determining the appropriate remedy and/or sanction, the university will act to end the discrimination, harassment, retaliation or sexual misconduct, prevent its recurrence and remedy its effects on the victim and/or university community. Sanctions will depend upon the nature and gravity of the misconduct, any record of prior discipline for a violation of this policy, or both. Sanctions may include, without limitation, withholding a promotion or pay increase, reassigning employment, terminating employment, temporary suspension without pay, compensation adjustments, expulsion or suspension from the university, disciplinary probation, expulsion from campus housing, mandated counseling, and/or educational sanctions as deemed appropriate.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will determine the final accommodations to be provided to the alleged victim, if any, and the Title IX Coordinator will communicate such decision to the alleged victim and the respondent to the extent that it affects him or her.</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Title IX Coordinator will also take steps to prevent any harassment of or retaliation against the complainant, the alleged victim (if not the complainant), or third parties, such as informing them about how to report subsequent problems, following up with them to ensure that there are no subsequent problems, providing training for the campus community, and providing counseling for the respondent. The Title IX Coordinator will also take steps to prevent the harassment of or retaliation against the respondent.</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Furthermore, the Title IX Coordinator will take prompt corrective action if the complainant or the alleged victim (if not the complainant) experiences retaliation or is subjected to further violation of this policy or if the original sanctions imposed on the respondent are ineffective to protect the safety and well-being of the complainant, the alleged victim (if not the complainant), or other members of the university community. The Title IX Coordinator will also take reasonable steps to eliminate any hostile environment that has been created, such as conducting trainings and disseminating informational materials. In taking the above outlined steps, the </w:t>
      </w:r>
      <w:r w:rsidRPr="003B0509">
        <w:rPr>
          <w:rFonts w:ascii="Times New Roman" w:eastAsia="Times New Roman" w:hAnsi="Times New Roman" w:cs="Times New Roman"/>
          <w:color w:val="000000"/>
          <w:sz w:val="21"/>
          <w:szCs w:val="21"/>
        </w:rPr>
        <w:lastRenderedPageBreak/>
        <w:t>Title IX Coordinator will make every reasonable effort to minimize the burden on the complainant and/or alleged victim.</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Failure to Satisfy or Timely Complete a Disciplinary Sanction and/or Condition</w:t>
      </w:r>
    </w:p>
    <w:p w:rsidR="003B0509" w:rsidRPr="003B0509" w:rsidRDefault="003B0509" w:rsidP="003B0509">
      <w:pPr>
        <w:spacing w:line="276" w:lineRule="auto"/>
        <w:rPr>
          <w:rFonts w:ascii="Times New Roman" w:hAnsi="Times New Roman" w:cs="Times New Roman"/>
          <w:sz w:val="21"/>
          <w:szCs w:val="21"/>
        </w:rPr>
      </w:pPr>
      <w:r w:rsidRPr="003B0509">
        <w:rPr>
          <w:rFonts w:ascii="Times New Roman" w:hAnsi="Times New Roman" w:cs="Times New Roman"/>
          <w:sz w:val="21"/>
          <w:szCs w:val="21"/>
        </w:rPr>
        <w:t>A student’s failure to satisfy or complete a mandated sanction and/or condition within the allotted time may result in additional administrative actions, including, but not limited to, a block on the student’s ability to register for classes.</w:t>
      </w:r>
    </w:p>
    <w:p w:rsidR="003B0509" w:rsidRPr="003B0509" w:rsidRDefault="003B0509" w:rsidP="003B0509">
      <w:pPr>
        <w:spacing w:line="276" w:lineRule="auto"/>
        <w:rPr>
          <w:rFonts w:ascii="Times New Roman" w:hAnsi="Times New Roman" w:cs="Times New Roman"/>
          <w:color w:val="1E1E1E"/>
          <w:sz w:val="21"/>
          <w:szCs w:val="21"/>
        </w:rPr>
      </w:pPr>
      <w:r w:rsidRPr="003B0509">
        <w:rPr>
          <w:rFonts w:ascii="Times New Roman" w:hAnsi="Times New Roman" w:cs="Times New Roman"/>
          <w:sz w:val="21"/>
          <w:szCs w:val="21"/>
        </w:rPr>
        <w:t>An employee’s failure to satisfy or complete a mandated sanction and/or condition within the allotted time will result in additional disciplinary actions.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Confidentiality and Disclosure</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 order to comply with FERPA and Title IX and to provide an orderly process for the presentation and consideration of relevant information without undue intimidation or pressure, the hearing process is not open to the general public. Accordingly, documents prepared in anticipation of the hearings (including the complaint, the investigative report, the notices of hearing, and the pre</w:t>
      </w:r>
      <w:r w:rsidRPr="003B0509">
        <w:rPr>
          <w:rFonts w:ascii="Times New Roman" w:eastAsia="Times New Roman" w:hAnsi="Times New Roman" w:cs="Times New Roman"/>
          <w:color w:val="000000"/>
          <w:sz w:val="21"/>
          <w:szCs w:val="21"/>
        </w:rPr>
        <w:softHyphen/>
        <w:t>hearing submissions referenced above) and documents, testimony, or other information introduced at the hearings may not be disclosed outside of the hearing proceedings, except as may be required or authorized by law.</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Support Persons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Both the alleged victim and the respondent may be accompanied by one support person to assist them throughout the process. This support person can be anyone, including an attorney, provided they do not have an inherent or material conflict. It is the student’s or employee’s responsibility to request and obtain the services of a support person. The support person may not speak on behalf of the person being supported throughout the investigative proceeding.</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Unless the student has received a suspension of ten (10) or more days or expulsion, the support person may not actively participate in the investigation process or address the hearing panel, present evidence, make objections or statements, ask questions of any party or witness or otherwise participate in the hearing, beyond privately communicating with the party that he or she is supporting. If the student has received a suspension of ten (10) or more days or expulsion, the support person may fully participate during the appeal proceeding.</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chair may disallow the attendance of any support person if he or she is also a witness or if, in the discretion of the chair, such person’s presence would be disruptive or obstructive to the hearing or otherwise warrant removal. All support persons must agree to keep any and all information presented in the hearing confidential in order to attend. Absent accommodation for disability, the parties may not be accompanied by any other individual during the hearing process except as set forth in this policy. University officials may seek advice from the university’s Office of General Counsel on questions of law and procedure at any time during the process.</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lastRenderedPageBreak/>
        <w:t>Time Periods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will make every reasonable effort to ensure that the investigation and resolution of a complaint occurs in as timely and efficient a manner as possible. The university’s investigation will generally be completed within sixty (60) days of the receipt of the complaint, absent extenuating circumstances. Hearings, if at all, will take place after the conclusion of the investigation. If hearings have taken place, both the complainant and the respondent generally will receive a final outcome letter within ten (10) days of the conclusion of the hearing.</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Any party may request an extension of any deadline by providing the Title IX Coordinator or his or her respective deputies with a written request for an extension that includes reference to the duration of the proposed extension and the basis for the request. The Title IX Coordinator will review the request and respond to the requesting party whether the request has been approved or denied. The Title IX Coordinator may also approve a request but with a modified duration period.</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For purposes of calculating all time periods set forth in this complaint and grievance policy, a business day is defined to mean normal operating hours, Monday through Friday, excluding recognized national and state holidays and university closings.</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Timelines may be modified in cases where information is not clear, judged to be incomplete, relevant parties are not available for interview, interview, extended or unforeseen campus closures, and/or other related circumstances as may arise. The Title IX Coordinator or the chancellor may also modify any deadlines contained in this policy as necessary and for good cause.</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Acknowledgement of Responsibility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At any time prior to the issuance of the investigative report or the date of his or her designated hearing, the respondent may elect to acknowledge his or her actions and take responsibility for the alleged policy violation. In such situations, the Title IX Coordinator will propose sanction(s). If either party objects to the proposed sanction(s), they may appeal the sanction(s) pursuant to this policy.</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Retaliation is Prohibited</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Retaliation against any person who files a complaint, participates in an investigation, or opposes a discriminatory employment or educational practice or policy is prohibited. A person who believes retaliation has occurred should notify the Title IX Coordinator as soon as possible.</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False Reports and False Information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 xml:space="preserve">Willfully making a false report under this policy, knowingly providing false information or intentionally misleading university officials who are involved in the investigation or resolution of a complaint is a violation of university policy and is a serious offense. Any person who willfully makes or participates in making a false </w:t>
      </w:r>
      <w:r w:rsidRPr="003B0509">
        <w:rPr>
          <w:rFonts w:ascii="Times New Roman" w:eastAsia="Times New Roman" w:hAnsi="Times New Roman" w:cs="Times New Roman"/>
          <w:color w:val="000000"/>
          <w:sz w:val="21"/>
          <w:szCs w:val="21"/>
        </w:rPr>
        <w:lastRenderedPageBreak/>
        <w:t xml:space="preserve">or frivolous report of discrimination, harassment, retaliation or sexual misconduct will be subject to disciplinary action. False reporting may also violate state criminal statutes and civil defamation laws. </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External Reporting Agencies</w:t>
      </w:r>
    </w:p>
    <w:p w:rsidR="003B0509" w:rsidRPr="003B0509" w:rsidRDefault="003B0509" w:rsidP="003B0509">
      <w:pPr>
        <w:spacing w:line="276" w:lineRule="auto"/>
        <w:rPr>
          <w:rFonts w:ascii="Times New Roman" w:hAnsi="Times New Roman" w:cs="Times New Roman"/>
          <w:color w:val="000000"/>
          <w:sz w:val="21"/>
          <w:szCs w:val="21"/>
        </w:rPr>
      </w:pPr>
      <w:r w:rsidRPr="003B0509">
        <w:rPr>
          <w:rFonts w:ascii="Times New Roman" w:hAnsi="Times New Roman" w:cs="Times New Roman"/>
          <w:color w:val="000000"/>
          <w:sz w:val="21"/>
          <w:szCs w:val="21"/>
        </w:rPr>
        <w:t>Although complainants are encouraged to resolve their grievances related to discrimination by utilizing this complaint/grievance procedure, they have the right to file a complaint directly with the following agencies. Individuals who wish to file complaints with these external agencies should make contact as soon as possible, to verify any applicable filing time limits and deadlines.</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Office of Civil Rights (OCR)</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U.S. Department of Education</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1999 Bryan Street, Suite 1620</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Dallas, Texas 75201-6810</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Toll Free Phone: 1.800.421.3481</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Telephone: 214.661.9600</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TTY: 1.800.877.8339</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Fax: 214.661.9587</w:t>
      </w:r>
    </w:p>
    <w:p w:rsidR="003B0509" w:rsidRPr="003B0509" w:rsidRDefault="003B0509" w:rsidP="003B0509">
      <w:pPr>
        <w:pStyle w:val="NoSpacing"/>
        <w:spacing w:line="276" w:lineRule="auto"/>
        <w:rPr>
          <w:rFonts w:ascii="Times New Roman" w:hAnsi="Times New Roman" w:cs="Times New Roman"/>
          <w:sz w:val="21"/>
          <w:szCs w:val="21"/>
        </w:rPr>
      </w:pPr>
      <w:r w:rsidRPr="003B0509">
        <w:rPr>
          <w:rFonts w:ascii="Times New Roman" w:hAnsi="Times New Roman" w:cs="Times New Roman"/>
          <w:sz w:val="21"/>
          <w:szCs w:val="21"/>
        </w:rPr>
        <w:t>Email: OCR.Dallas@ed.gov</w:t>
      </w:r>
    </w:p>
    <w:p w:rsidR="003B0509" w:rsidRPr="003B0509" w:rsidRDefault="003B0509" w:rsidP="003B0509">
      <w:pPr>
        <w:pStyle w:val="NoSpacing"/>
        <w:spacing w:line="276" w:lineRule="auto"/>
        <w:rPr>
          <w:rFonts w:ascii="Times New Roman" w:eastAsia="Times New Roman" w:hAnsi="Times New Roman" w:cs="Times New Roman"/>
          <w:sz w:val="21"/>
          <w:szCs w:val="21"/>
        </w:rPr>
      </w:pPr>
      <w:r w:rsidRPr="003B0509">
        <w:rPr>
          <w:rFonts w:ascii="Times New Roman" w:hAnsi="Times New Roman" w:cs="Times New Roman"/>
          <w:sz w:val="21"/>
          <w:szCs w:val="21"/>
        </w:rPr>
        <w:t xml:space="preserve">Website: </w:t>
      </w:r>
      <w:hyperlink r:id="rId21" w:history="1">
        <w:r w:rsidRPr="003B0509">
          <w:rPr>
            <w:rStyle w:val="Hyperlink"/>
            <w:rFonts w:ascii="Times New Roman" w:hAnsi="Times New Roman" w:cs="Times New Roman"/>
            <w:sz w:val="21"/>
            <w:szCs w:val="21"/>
          </w:rPr>
          <w:t>https://www2.ed.gov/about/offices/list/ocr/docs/tix_dis.html</w:t>
        </w:r>
      </w:hyperlink>
      <w:r w:rsidRPr="003B0509">
        <w:rPr>
          <w:rFonts w:ascii="Times New Roman" w:hAnsi="Times New Roman" w:cs="Times New Roman"/>
          <w:sz w:val="21"/>
          <w:szCs w:val="21"/>
        </w:rPr>
        <w:t xml:space="preserve"> </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Equal Employment Opportunity Commission (EEOC)</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820 Louisiana Street, Suite 200</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Little Rock, Arkansas, 72201</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Toll Free Phone: 1.800.669.4000</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Telephone: 501.324.5060</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TTY: 1.800.669.6820</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Fax: 501.324.5991</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 xml:space="preserve">Website: </w:t>
      </w:r>
      <w:hyperlink r:id="rId22" w:history="1">
        <w:r w:rsidRPr="003B0509">
          <w:rPr>
            <w:rStyle w:val="Hyperlink"/>
            <w:rFonts w:ascii="Times New Roman" w:hAnsi="Times New Roman" w:cs="Times New Roman"/>
            <w:sz w:val="21"/>
            <w:szCs w:val="21"/>
          </w:rPr>
          <w:t>www.eeoc.gov</w:t>
        </w:r>
      </w:hyperlink>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NSF Grantees Only:</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National Science Foundation</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Office of Diversity and Inclusion</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2415 Eisenhower Avenue</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Alexandria, Virginia 22314</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Telephone: 703.292.8020</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Fax: 703.292.9072</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Email: programcomplaints@nsf.gov</w:t>
      </w:r>
    </w:p>
    <w:p w:rsidR="003B0509" w:rsidRPr="003B0509" w:rsidRDefault="003B0509" w:rsidP="003B0509">
      <w:pPr>
        <w:pStyle w:val="NoSpacing"/>
        <w:spacing w:line="276" w:lineRule="auto"/>
        <w:rPr>
          <w:rFonts w:ascii="Times New Roman" w:hAnsi="Times New Roman" w:cs="Times New Roman"/>
          <w:sz w:val="21"/>
          <w:szCs w:val="21"/>
          <w:shd w:val="clear" w:color="auto" w:fill="FFFFFF"/>
        </w:rPr>
      </w:pPr>
      <w:r w:rsidRPr="003B0509">
        <w:rPr>
          <w:rFonts w:ascii="Times New Roman" w:hAnsi="Times New Roman" w:cs="Times New Roman"/>
          <w:sz w:val="21"/>
          <w:szCs w:val="21"/>
          <w:shd w:val="clear" w:color="auto" w:fill="FFFFFF"/>
        </w:rPr>
        <w:t xml:space="preserve">Website: </w:t>
      </w:r>
      <w:hyperlink r:id="rId23" w:history="1">
        <w:r w:rsidRPr="003B0509">
          <w:rPr>
            <w:rStyle w:val="Hyperlink"/>
            <w:rFonts w:ascii="Times New Roman" w:hAnsi="Times New Roman" w:cs="Times New Roman"/>
            <w:sz w:val="21"/>
            <w:szCs w:val="21"/>
            <w:shd w:val="clear" w:color="auto" w:fill="FFFFFF"/>
          </w:rPr>
          <w:t>https://www.nsf.gov/od/odi/harassment.jsp</w:t>
        </w:r>
      </w:hyperlink>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Effective Date of Policy</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reserves the right to make changes and amendments to this policy as needed, with appropriate notice to the community. However, the policy in force at the time that a complaint is filed will be the policy used throughout the investigation, hearing, and any appeals that are heard.</w:t>
      </w:r>
    </w:p>
    <w:p w:rsidR="003B0509" w:rsidRPr="003B0509" w:rsidRDefault="003B0509" w:rsidP="003B0509">
      <w:pPr>
        <w:spacing w:before="360" w:after="165"/>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lastRenderedPageBreak/>
        <w:t>Documentation Retention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The university will retain documentation (including but not limited to the written complaint, notifications, the investigative report, any written findings of fact, petitions for appeal, and any written communication between the parties) for at least three (3) years. Documentation pertaining to terminations, expulsions, or educational sanctions may be retained indefinitely.</w:t>
      </w: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p>
    <w:p w:rsidR="003B0509" w:rsidRPr="003B0509" w:rsidRDefault="003B0509" w:rsidP="003B0509">
      <w:pPr>
        <w:spacing w:before="360" w:after="165"/>
        <w:jc w:val="center"/>
        <w:textAlignment w:val="baseline"/>
        <w:outlineLvl w:val="3"/>
        <w:rPr>
          <w:rFonts w:ascii="Times New Roman" w:eastAsia="Times New Roman" w:hAnsi="Times New Roman" w:cs="Times New Roman"/>
          <w:color w:val="1E1E1E"/>
          <w:sz w:val="30"/>
          <w:szCs w:val="30"/>
        </w:rPr>
      </w:pPr>
      <w:r w:rsidRPr="003B0509">
        <w:rPr>
          <w:rFonts w:ascii="Times New Roman" w:eastAsia="Times New Roman" w:hAnsi="Times New Roman" w:cs="Times New Roman"/>
          <w:color w:val="1E1E1E"/>
          <w:sz w:val="30"/>
          <w:szCs w:val="30"/>
        </w:rPr>
        <w:t>DEFINITION OF TERMS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Complainant.</w:t>
      </w:r>
      <w:r w:rsidRPr="003B0509">
        <w:rPr>
          <w:rFonts w:ascii="Times New Roman" w:eastAsia="Times New Roman" w:hAnsi="Times New Roman" w:cs="Times New Roman"/>
          <w:color w:val="000000"/>
          <w:sz w:val="21"/>
          <w:szCs w:val="21"/>
        </w:rPr>
        <w:t> Any party who makes a complaint against a student, employee, staff member, or campus visitor.</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rPr>
          <w:rFonts w:ascii="Times New Roman" w:hAnsi="Times New Roman" w:cs="Times New Roman"/>
          <w:sz w:val="21"/>
          <w:szCs w:val="21"/>
        </w:rPr>
      </w:pPr>
      <w:r w:rsidRPr="003B0509">
        <w:rPr>
          <w:rFonts w:ascii="Times New Roman" w:eastAsia="Times New Roman" w:hAnsi="Times New Roman" w:cs="Times New Roman"/>
          <w:b/>
          <w:bCs/>
          <w:color w:val="000000"/>
          <w:sz w:val="21"/>
          <w:szCs w:val="21"/>
          <w:bdr w:val="none" w:sz="0" w:space="0" w:color="auto" w:frame="1"/>
        </w:rPr>
        <w:t>Consent.</w:t>
      </w:r>
      <w:r w:rsidRPr="003B0509">
        <w:rPr>
          <w:rFonts w:ascii="Times New Roman" w:eastAsia="Times New Roman" w:hAnsi="Times New Roman" w:cs="Times New Roman"/>
          <w:color w:val="000000"/>
          <w:sz w:val="21"/>
          <w:szCs w:val="21"/>
        </w:rPr>
        <w:t> </w:t>
      </w:r>
      <w:r w:rsidRPr="003B0509">
        <w:rPr>
          <w:rFonts w:ascii="Times New Roman" w:hAnsi="Times New Roman" w:cs="Times New Roman"/>
          <w:sz w:val="21"/>
          <w:szCs w:val="21"/>
        </w:rPr>
        <w:t>Consent is a clear, knowing and voluntary decision to engage in sexual activity. Because consent is voluntary, it is given without coercion, force, threats, or intimidation.  It is given with positive cooperation in the act or expression of intent to engage in the act pursuant to an exercise of free will.</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 xml:space="preserve">Consent is active, not passive. Silence, in and of itself, cannot be interpreted as consent.  Consent can be given by words or actions, as long as those words or actions consist of an affirmative, unambiguous, conscious decision by each participant to engage in mutually agreed-upon sexual activity. </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 xml:space="preserve">Consent is revocable, meaning consent can be withdrawn at any time.  Thus, consent must be ongoing throughout a sexual encounter.  Once consent has been revoked, sexual activity must stop immediately.  </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 xml:space="preserve">Consent can be limited, meaning consent to any one form of sexual activity cannot automatically imply consent to any other forms of sexual activity.  Further, previous relationships or prior consent cannot imply consent to future sexual acts.   </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Consent cannot be given when a person is incapacitated, such as when a person is physically or mentally unable to make informed, rational judgments, or lacks the ability to understand the “who, what, when, where and how” related to the sexual activity.  States of incapacitation include, but are not limited to, unconsciousness and sleep.  Where alcohol or drugs are involved, incapacitation is determined by how the alcohol or other drugs have impacted a person’s decision-making capacity, awareness of consequences, and/or ability to make fully informed judgments.</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 xml:space="preserve">Use of alcohol or other drugs will never function as a defense to a violation of this Policy.   </w:t>
      </w:r>
    </w:p>
    <w:p w:rsidR="003B0509" w:rsidRPr="003B0509" w:rsidRDefault="003B0509" w:rsidP="003B0509">
      <w:pPr>
        <w:rPr>
          <w:rFonts w:ascii="Times New Roman" w:hAnsi="Times New Roman" w:cs="Times New Roman"/>
          <w:sz w:val="21"/>
          <w:szCs w:val="21"/>
        </w:rPr>
      </w:pPr>
      <w:r w:rsidRPr="003B0509">
        <w:rPr>
          <w:rFonts w:ascii="Times New Roman" w:hAnsi="Times New Roman" w:cs="Times New Roman"/>
          <w:sz w:val="21"/>
          <w:szCs w:val="21"/>
        </w:rPr>
        <w:t>In sum:</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Silence does not equal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Lack of verbal resistance does not constitute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Lack of physical resistance does not constitute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There is no consent when there is force, coercion, intimidation, threats or duress.</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Consent may be withdrawn at any time, and sexual activity must cease when consent is withdrawn unless or until additional consent is given.</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Consent to one form of sexual activity does not indicate consent to another form of sexual activity.</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A prior sexual relationship does not indicate current or future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Minors cannot give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Physically or mentally incapacitated persons cannot give consent.</w:t>
      </w:r>
    </w:p>
    <w:p w:rsidR="003B0509" w:rsidRPr="003B0509" w:rsidRDefault="003B0509" w:rsidP="003B0509">
      <w:pPr>
        <w:pStyle w:val="ListParagraph"/>
        <w:numPr>
          <w:ilvl w:val="0"/>
          <w:numId w:val="20"/>
        </w:numPr>
        <w:spacing w:after="0" w:line="240" w:lineRule="auto"/>
        <w:rPr>
          <w:rFonts w:ascii="Times New Roman" w:hAnsi="Times New Roman" w:cs="Times New Roman"/>
          <w:sz w:val="21"/>
          <w:szCs w:val="21"/>
        </w:rPr>
      </w:pPr>
      <w:r w:rsidRPr="003B0509">
        <w:rPr>
          <w:rFonts w:ascii="Times New Roman" w:hAnsi="Times New Roman" w:cs="Times New Roman"/>
          <w:sz w:val="21"/>
          <w:szCs w:val="21"/>
        </w:rPr>
        <w:t xml:space="preserve">Consent may be determined by whether the accused knew, or a reasonable person should have known, that the alleged victim was incapacitated. </w:t>
      </w:r>
    </w:p>
    <w:p w:rsidR="003B0509" w:rsidRPr="003B0509" w:rsidRDefault="003B0509" w:rsidP="003B0509">
      <w:pPr>
        <w:pStyle w:val="ListParagraph"/>
        <w:ind w:left="1080"/>
        <w:rPr>
          <w:rFonts w:ascii="Times New Roman" w:hAnsi="Times New Roman" w:cs="Times New Roman"/>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lastRenderedPageBreak/>
        <w:t>Dating Violence</w:t>
      </w:r>
      <w:r w:rsidRPr="003B0509">
        <w:rPr>
          <w:rFonts w:ascii="Times New Roman" w:eastAsia="Times New Roman" w:hAnsi="Times New Roman" w:cs="Times New Roman"/>
          <w:color w:val="000000"/>
          <w:sz w:val="21"/>
          <w:szCs w:val="21"/>
        </w:rPr>
        <w:t>. Violence committed by a person who is or has been in a social relationship of a romantic or intimate nature with the alleged victim. It includes any unwelcome physical violence such as hitting, pulling, shoving, kicking, biting, or throwing things; and sexual assault, sexual exploitation, and sexual harassment.</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Days.  </w:t>
      </w:r>
      <w:r w:rsidRPr="003B0509">
        <w:rPr>
          <w:rFonts w:ascii="Times New Roman" w:eastAsia="Times New Roman" w:hAnsi="Times New Roman" w:cs="Times New Roman"/>
          <w:color w:val="000000"/>
          <w:sz w:val="21"/>
          <w:szCs w:val="21"/>
        </w:rPr>
        <w:t>“Days” means calendar days unless otherwise noted. If a due date falls during a campus closure or on a holiday or weekend, the due date is the next business day.</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Discrimination (general definition)</w:t>
      </w:r>
      <w:r w:rsidRPr="003B0509">
        <w:rPr>
          <w:rFonts w:ascii="Times New Roman" w:eastAsia="Times New Roman" w:hAnsi="Times New Roman" w:cs="Times New Roman"/>
          <w:color w:val="000000"/>
          <w:sz w:val="21"/>
          <w:szCs w:val="21"/>
        </w:rPr>
        <w:t>. Conduct that is based upon an individual’s race, color, religion, sexual orientation, gender identity, national origin, service in the uniformed services (as defined in state and federal law), veteran status, sex, age, pregnancy, physical or mental disability, or genetic information that excludes an individual from participation, denies the individual the benefits of, treats the individual differently, or otherwise adversely affects a term or condition of an individual’s employment, education, living environment, or participation in a university program or activity. This includes failing to provide reasonable accommodation, consistent with state and federal law, to persons with disabilities.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Discriminatory Harassment</w:t>
      </w:r>
      <w:r w:rsidRPr="003B0509">
        <w:rPr>
          <w:rFonts w:ascii="Times New Roman" w:eastAsia="Times New Roman" w:hAnsi="Times New Roman" w:cs="Times New Roman"/>
          <w:color w:val="000000"/>
          <w:sz w:val="21"/>
          <w:szCs w:val="21"/>
        </w:rPr>
        <w:t>. Detrimental action based on an individual’s race, color, religion, sexual orientation, gender identity, national origin, service in the uniformed services (as defined in state and federal law), veteran status, sex, age, pregnancy, physical or mental disability or genetic information. Harassing conduct may take various forms, including name-calling, graphic or written statements (including the use of cell phones or the Internet), or other conduct that may be physically threatening, harmful, or humiliating. Harassment does not have to include intent to harm, be directed at a specific target, or involve repeated incidents. Gender-based harassment includes sexual harassment.</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Domestic Violence</w:t>
      </w:r>
      <w:r w:rsidRPr="003B0509">
        <w:rPr>
          <w:rFonts w:ascii="Times New Roman" w:eastAsia="Times New Roman" w:hAnsi="Times New Roman" w:cs="Times New Roman"/>
          <w:color w:val="000000"/>
          <w:sz w:val="21"/>
          <w:szCs w:val="21"/>
        </w:rPr>
        <w:t>. Physical harm, bodily injury, assault, or the infliction of fear of imminent physical harm, bodily injury, or assault between family or household members; or any sexual conduct between family or household members, whether minors or adults, constitutes a crime under the laws of this state. Family or household members means spouses, former spouses, parents and children, persons related by blood within the fourth degree of consanguinity, any children residing in the household, persons who presently or in the past have resided or cohabited together, persons who have or have had a child in common, and persons who are presently or in the past have been in a dating relationship together. See also, Arkansas Code Annotated §9-15-103—”Domestic Abuse”.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“Employee” Status</w:t>
      </w:r>
      <w:r w:rsidRPr="003B0509">
        <w:rPr>
          <w:rFonts w:ascii="Times New Roman" w:eastAsia="Times New Roman" w:hAnsi="Times New Roman" w:cs="Times New Roman"/>
          <w:color w:val="000000"/>
          <w:sz w:val="21"/>
          <w:szCs w:val="21"/>
        </w:rPr>
        <w:t>. Full and part-time university employees who are not enrolled as students will be considered “employees” for the purposes of this policy. A full-time employee of the university who is enrolled as a student will also be considered an “employee” for the purposes of this policy.</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Hostile Environment</w:t>
      </w:r>
      <w:r w:rsidRPr="003B0509">
        <w:rPr>
          <w:rFonts w:ascii="Times New Roman" w:eastAsia="Times New Roman" w:hAnsi="Times New Roman" w:cs="Times New Roman"/>
          <w:color w:val="000000"/>
          <w:sz w:val="21"/>
          <w:szCs w:val="21"/>
        </w:rPr>
        <w:t xml:space="preserve">. A hostile environment exists when there is harassing conduct based on race, color, religion, sexual orientation, gender identity, national origin, service in the uniformed services (as defined in state and federal law), veteran status, sex, age, pregnancy, physical or mental disability, or genetic information that is sufficiently serious (i.e., severe, pervasive, or persistent) and objectively offensive to deny or limit a person’s ability to participate in or benefit from the university’s programs, services, opportunities, or activities; </w:t>
      </w:r>
      <w:r w:rsidRPr="003B0509">
        <w:rPr>
          <w:rFonts w:ascii="Times New Roman" w:eastAsia="Times New Roman" w:hAnsi="Times New Roman" w:cs="Times New Roman"/>
          <w:color w:val="000000"/>
          <w:sz w:val="21"/>
          <w:szCs w:val="21"/>
        </w:rPr>
        <w:lastRenderedPageBreak/>
        <w:t>or when such conduct has the purpose or effect of unreasonably interfering with an individual’s employment. Harassment that creates a hostile environment (“hostile environment harassment”) violates this policy.</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bCs/>
          <w:color w:val="000000"/>
          <w:sz w:val="21"/>
          <w:szCs w:val="21"/>
          <w:bdr w:val="none" w:sz="0" w:space="0" w:color="auto" w:frame="1"/>
        </w:rPr>
      </w:pPr>
      <w:r w:rsidRPr="003B0509">
        <w:rPr>
          <w:rFonts w:ascii="Times New Roman" w:eastAsia="Times New Roman" w:hAnsi="Times New Roman" w:cs="Times New Roman"/>
          <w:b/>
          <w:bCs/>
          <w:color w:val="000000"/>
          <w:sz w:val="21"/>
          <w:szCs w:val="21"/>
          <w:bdr w:val="none" w:sz="0" w:space="0" w:color="auto" w:frame="1"/>
        </w:rPr>
        <w:t>Investigator/Hearing Panel Member</w:t>
      </w:r>
      <w:r w:rsidRPr="003B0509">
        <w:rPr>
          <w:rFonts w:ascii="Times New Roman" w:eastAsia="Times New Roman" w:hAnsi="Times New Roman" w:cs="Times New Roman"/>
          <w:bCs/>
          <w:color w:val="000000"/>
          <w:sz w:val="21"/>
          <w:szCs w:val="21"/>
          <w:bdr w:val="none" w:sz="0" w:space="0" w:color="auto" w:frame="1"/>
        </w:rPr>
        <w:t>. A pool of trained Title IX Investigators, Title IX Coordinator, Deputy Title IX Coordinators from other University of Arkansas System campuses.</w:t>
      </w:r>
    </w:p>
    <w:p w:rsidR="003B0509" w:rsidRPr="003B0509" w:rsidRDefault="003B0509" w:rsidP="003B0509">
      <w:pPr>
        <w:spacing w:line="315" w:lineRule="atLeast"/>
        <w:textAlignment w:val="baseline"/>
        <w:rPr>
          <w:rFonts w:ascii="Times New Roman" w:eastAsia="Times New Roman" w:hAnsi="Times New Roman" w:cs="Times New Roman"/>
          <w:bCs/>
          <w:color w:val="000000"/>
          <w:sz w:val="21"/>
          <w:szCs w:val="21"/>
          <w:bdr w:val="none" w:sz="0" w:space="0" w:color="auto" w:frame="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Non-Consensual Sexual Contact</w:t>
      </w:r>
      <w:r w:rsidRPr="003B0509">
        <w:rPr>
          <w:rFonts w:ascii="Times New Roman" w:eastAsia="Times New Roman" w:hAnsi="Times New Roman" w:cs="Times New Roman"/>
          <w:color w:val="000000"/>
          <w:sz w:val="21"/>
          <w:szCs w:val="21"/>
        </w:rPr>
        <w:t>. Non-consensual sexual contact is any intentional sexual touching, however slight, with any object by a male or female upon a male or a female that is without consent and/or by force. Sexual contact includes intentional contact with the breasts, buttock, groin, or genitals, or touching another with any of these body parts, or making another touch you or themselves with or on any of these body parts; any intentional bodily contact in a sexual manner, though not involving contact with/of/by breasts, buttocks, groin, genitals, mouth, or other orifice.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Non-Consensual Sexual Intercourse</w:t>
      </w:r>
      <w:r w:rsidRPr="003B0509">
        <w:rPr>
          <w:rFonts w:ascii="Times New Roman" w:eastAsia="Times New Roman" w:hAnsi="Times New Roman" w:cs="Times New Roman"/>
          <w:color w:val="000000"/>
          <w:sz w:val="21"/>
          <w:szCs w:val="21"/>
        </w:rPr>
        <w:t>. Non-consensual sexual intercourse is any sexual intercourse, however slight, by a male or female upon a male or a female that is without consent and/or by force. Intercourse includes vaginal penetration by a penis, object, tongue, or finger; anal penetration by a penis, object, tongue, or finger; and oral copulation (mouth to genital contact or genital to mouth contact), no matter how slight the penetration or contact.</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Respondent</w:t>
      </w:r>
      <w:r w:rsidRPr="003B0509">
        <w:rPr>
          <w:rFonts w:ascii="Times New Roman" w:eastAsia="Times New Roman" w:hAnsi="Times New Roman" w:cs="Times New Roman"/>
          <w:color w:val="000000"/>
          <w:sz w:val="21"/>
          <w:szCs w:val="21"/>
        </w:rPr>
        <w:t>. The person(s) against whom a complaint has been made.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Retaliation</w:t>
      </w:r>
      <w:r w:rsidRPr="003B0509">
        <w:rPr>
          <w:rFonts w:ascii="Times New Roman" w:eastAsia="Times New Roman" w:hAnsi="Times New Roman" w:cs="Times New Roman"/>
          <w:color w:val="000000"/>
          <w:sz w:val="21"/>
          <w:szCs w:val="21"/>
        </w:rPr>
        <w:t>. Action taken by an accused individual or by a third party against any person because that person has opposed any practices forbidden under this policy or because that person has filed a complaint, testified, assisted, or participated in any manner in an investigation or proceeding under this policy. This includes action taken against a bystander who intervened to stop or attempt to stop discrimination, harassment, or sexual misconduct. Retaliation includes intimidating, threatening, coercing, or in any way discriminating against an individual because of the individual’s complaint or participation. Action is generally deemed retaliatory if it would deter a reasonable person in the same circumstances from opposing practices prohibited by this policy.</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Sexual Assault</w:t>
      </w:r>
      <w:r w:rsidRPr="003B0509">
        <w:rPr>
          <w:rFonts w:ascii="Times New Roman" w:eastAsia="Times New Roman" w:hAnsi="Times New Roman" w:cs="Times New Roman"/>
          <w:color w:val="000000"/>
          <w:sz w:val="21"/>
          <w:szCs w:val="21"/>
        </w:rPr>
        <w:t>. An actual or attempted sexual contact with another person without that person’s consent. Sexual assault includes but is not limited to involvement in any sexual contact when the victim is unable to consent; intentional and unwelcome touching of, or coercing, forcing, or attempting to coerce or force another to touch a person’s intimate parts (defined as genital area, groin, inner thigh, buttocks, or breast); and sexual intercourse without consent, including acts commonly referred to as “rape.”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Sexual Exploitation</w:t>
      </w:r>
      <w:r w:rsidRPr="003B0509">
        <w:rPr>
          <w:rFonts w:ascii="Times New Roman" w:eastAsia="Times New Roman" w:hAnsi="Times New Roman" w:cs="Times New Roman"/>
          <w:color w:val="000000"/>
          <w:sz w:val="21"/>
          <w:szCs w:val="21"/>
        </w:rPr>
        <w:t>. Occurs when a person takes non-consensual or abusive sexual advantage of another for his or her own advantage or benefit, or to benefit or advantage anyone other than the one being exploited, and that behavior does not otherwise constitute one of other sexual misconduct offenses. Examples of behavior that could rise to the level of sexual exploitation include but are not limited to:</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Invading sexual privacy.</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lastRenderedPageBreak/>
        <w:t>Prostituting another person.</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Non-consensual video or audiotaping of sexual activity.</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Going beyond the boundaries of consent (e.g., allowing others to watch consensual sex without that party’s knowledge or consent); engaging in voyeurism.</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Non-consensual distribution of photos, other images, or information of an individual’s sexual activity, intimate body parts, or nakedness, with the intent to or having the effect of embarrassing an individual who is the subject of such images or information.</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Knowingly transmitting an STI, such as HIV, to another without disclosing one’s STI status.</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Exposing one’s genitals in non-consensual circumstances or inducing another to expose his or her genitals.</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Possessing, distributing, viewing, or forcing others to view illegal pornography.</w:t>
      </w:r>
    </w:p>
    <w:p w:rsidR="003B0509" w:rsidRPr="003B0509" w:rsidRDefault="003B0509" w:rsidP="003B0509">
      <w:pPr>
        <w:numPr>
          <w:ilvl w:val="0"/>
          <w:numId w:val="19"/>
        </w:numPr>
        <w:spacing w:line="315" w:lineRule="atLeast"/>
        <w:ind w:left="525"/>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Sexually-based stalking and/or bullying may also be forms of sexual exploitation.</w:t>
      </w:r>
    </w:p>
    <w:p w:rsidR="003B0509" w:rsidRPr="003B0509" w:rsidRDefault="003B0509" w:rsidP="003B0509">
      <w:pPr>
        <w:spacing w:line="315" w:lineRule="atLeast"/>
        <w:ind w:left="525"/>
        <w:textAlignment w:val="baseline"/>
        <w:rPr>
          <w:rFonts w:ascii="Times New Roman" w:eastAsia="Times New Roman" w:hAnsi="Times New Roman" w:cs="Times New Roman"/>
          <w:color w:val="000000"/>
          <w:sz w:val="21"/>
          <w:szCs w:val="21"/>
        </w:rPr>
      </w:pP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Sexual Harassment</w:t>
      </w:r>
      <w:r w:rsidRPr="003B0509">
        <w:rPr>
          <w:rFonts w:ascii="Times New Roman" w:eastAsia="Times New Roman" w:hAnsi="Times New Roman" w:cs="Times New Roman"/>
          <w:color w:val="000000"/>
          <w:sz w:val="21"/>
          <w:szCs w:val="21"/>
        </w:rPr>
        <w:t>. Unwelcome, gender-based spoken, written, or symbolic action or physical conduct that is sufficiently severe, persistent, or pervasive that it has the effect of unreasonably interfering with, limiting, or denying someone the ability to participate in or benefit from the university’s educational programs. The unwelcome behavior may be based on power differentials, the creation of a hostile environment, or retaliation.</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For the purpose of this policy, sexual harassment includes stalking or repeatedly following, harassing, threatening, or intimidating another by telephone, mail, electronic communication, social media, or any other action, device, or method that purposely or knowingly causes substantial emotional distress or reasonable fear of bodily injury or death. Sexual harassment also includes quid pro quo sexual harassment, which exists when there are unwelcome sexual advances, requests for sexual favors, or other verbal or physical conduct of a sexual nature and submission to or rejection of such conduct results in adverse educational or employment action.</w:t>
      </w:r>
    </w:p>
    <w:p w:rsidR="003B0509" w:rsidRPr="003B0509" w:rsidRDefault="003B0509" w:rsidP="003B0509">
      <w:pPr>
        <w:spacing w:after="315"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color w:val="000000"/>
          <w:sz w:val="21"/>
          <w:szCs w:val="21"/>
        </w:rPr>
        <w:t>Not all workplace or educational conduct that may be described as “harassment” affects the terms, conditions, or privileges of employment or education. For example, a mere utterance of an ethnic, gender-based, or racial epithet which creates offensive feelings in an employee or student would not normally affect the terms and conditions of their employment or limit a student’s ability to participate in or benefit from the university’s educational programs or activities.</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r w:rsidRPr="003B0509">
        <w:rPr>
          <w:rFonts w:ascii="Times New Roman" w:eastAsia="Times New Roman" w:hAnsi="Times New Roman" w:cs="Times New Roman"/>
          <w:b/>
          <w:bCs/>
          <w:color w:val="000000"/>
          <w:sz w:val="21"/>
          <w:szCs w:val="21"/>
          <w:bdr w:val="none" w:sz="0" w:space="0" w:color="auto" w:frame="1"/>
        </w:rPr>
        <w:t>Sexual Misconduct</w:t>
      </w:r>
      <w:r w:rsidRPr="003B0509">
        <w:rPr>
          <w:rFonts w:ascii="Times New Roman" w:eastAsia="Times New Roman" w:hAnsi="Times New Roman" w:cs="Times New Roman"/>
          <w:color w:val="000000"/>
          <w:sz w:val="21"/>
          <w:szCs w:val="21"/>
        </w:rPr>
        <w:t>. Includes sexual assault, inducing incapacitation for sexual purposes, sexual exploitation, and dating and domestic violence.</w:t>
      </w:r>
    </w:p>
    <w:p w:rsidR="003B0509" w:rsidRPr="003B0509" w:rsidRDefault="003B0509" w:rsidP="003B0509">
      <w:pPr>
        <w:spacing w:line="315" w:lineRule="atLeast"/>
        <w:textAlignment w:val="baseline"/>
        <w:rPr>
          <w:rFonts w:ascii="Times New Roman" w:eastAsia="Times New Roman" w:hAnsi="Times New Roman" w:cs="Times New Roman"/>
          <w:color w:val="000000"/>
          <w:sz w:val="21"/>
          <w:szCs w:val="21"/>
        </w:rPr>
      </w:pPr>
    </w:p>
    <w:p w:rsidR="003B0509" w:rsidRPr="003B0509" w:rsidRDefault="003B0509" w:rsidP="003B0509">
      <w:pPr>
        <w:pStyle w:val="NoSpacing"/>
        <w:rPr>
          <w:rFonts w:ascii="Times New Roman" w:hAnsi="Times New Roman" w:cs="Times New Roman"/>
          <w:sz w:val="24"/>
          <w:szCs w:val="24"/>
        </w:rPr>
      </w:pPr>
      <w:r w:rsidRPr="003B0509">
        <w:rPr>
          <w:rFonts w:ascii="Times New Roman" w:eastAsia="Times New Roman" w:hAnsi="Times New Roman" w:cs="Times New Roman"/>
          <w:color w:val="000000"/>
          <w:sz w:val="21"/>
          <w:szCs w:val="21"/>
        </w:rPr>
        <w:t>“</w:t>
      </w:r>
      <w:r w:rsidRPr="003B0509">
        <w:rPr>
          <w:rFonts w:ascii="Times New Roman" w:eastAsia="Times New Roman" w:hAnsi="Times New Roman" w:cs="Times New Roman"/>
          <w:b/>
          <w:bCs/>
          <w:color w:val="000000"/>
          <w:sz w:val="21"/>
          <w:szCs w:val="21"/>
          <w:bdr w:val="none" w:sz="0" w:space="0" w:color="auto" w:frame="1"/>
        </w:rPr>
        <w:t>Student” Status</w:t>
      </w:r>
      <w:r w:rsidRPr="003B0509">
        <w:rPr>
          <w:rFonts w:ascii="Times New Roman" w:eastAsia="Times New Roman" w:hAnsi="Times New Roman" w:cs="Times New Roman"/>
          <w:color w:val="000000"/>
          <w:sz w:val="21"/>
          <w:szCs w:val="21"/>
        </w:rPr>
        <w:t>. Any student who is a part-time employee of the university will be considered a “student” for the purposes of this policy unless the incident under consideration occurred in connection with his or her employment. Students who are not employed by the university will be considered “students” for the purpose of this policy.</w:t>
      </w:r>
    </w:p>
    <w:p w:rsidR="00AF65E7" w:rsidRDefault="00AF65E7"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3B0509" w:rsidRDefault="003B0509" w:rsidP="00E07C00">
      <w:pPr>
        <w:pStyle w:val="NoSpacing"/>
        <w:rPr>
          <w:rFonts w:ascii="Times New Roman" w:eastAsia="Calibri" w:hAnsi="Times New Roman" w:cs="Times New Roman"/>
          <w:sz w:val="24"/>
          <w:szCs w:val="24"/>
        </w:rPr>
      </w:pPr>
    </w:p>
    <w:p w:rsidR="00AF65E7" w:rsidRDefault="00AF65E7" w:rsidP="00E07C00">
      <w:pPr>
        <w:pStyle w:val="NoSpacing"/>
        <w:rPr>
          <w:rFonts w:ascii="Times New Roman" w:eastAsia="Calibri" w:hAnsi="Times New Roman" w:cs="Times New Roman"/>
          <w:sz w:val="24"/>
          <w:szCs w:val="24"/>
        </w:rPr>
      </w:pPr>
    </w:p>
    <w:p w:rsidR="00AF65E7" w:rsidRDefault="00AF65E7" w:rsidP="00E07C00">
      <w:pPr>
        <w:pStyle w:val="NoSpacing"/>
        <w:rPr>
          <w:rFonts w:ascii="Times New Roman" w:eastAsia="Calibri" w:hAnsi="Times New Roman" w:cs="Times New Roman"/>
          <w:sz w:val="20"/>
          <w:szCs w:val="24"/>
        </w:rPr>
      </w:pPr>
    </w:p>
    <w:p w:rsidR="003B0509" w:rsidRPr="003B0509" w:rsidRDefault="007861AA" w:rsidP="00E07C00">
      <w:pPr>
        <w:pStyle w:val="NoSpacing"/>
        <w:rPr>
          <w:rFonts w:ascii="Times New Roman" w:eastAsia="Calibri" w:hAnsi="Times New Roman" w:cs="Times New Roman"/>
          <w:sz w:val="20"/>
          <w:szCs w:val="24"/>
        </w:rPr>
      </w:pPr>
      <w:r w:rsidRPr="00AF65E7">
        <w:rPr>
          <w:rFonts w:ascii="Times New Roman" w:eastAsia="Calibri" w:hAnsi="Times New Roman" w:cs="Times New Roman"/>
          <w:sz w:val="20"/>
          <w:szCs w:val="24"/>
        </w:rPr>
        <w:t xml:space="preserve">Source:  </w:t>
      </w:r>
      <w:r w:rsidR="003B0509" w:rsidRPr="003B0509">
        <w:rPr>
          <w:rFonts w:ascii="Times New Roman" w:eastAsia="Calibri" w:hAnsi="Times New Roman" w:cs="Times New Roman"/>
          <w:sz w:val="20"/>
          <w:szCs w:val="24"/>
        </w:rPr>
        <w:t>UA Little Rock Title IX Compliance Committee</w:t>
      </w:r>
    </w:p>
    <w:p w:rsidR="007861AA" w:rsidRPr="00AF65E7" w:rsidRDefault="00B528D8" w:rsidP="00E07C00">
      <w:pPr>
        <w:pStyle w:val="NoSpacing"/>
        <w:rPr>
          <w:rFonts w:ascii="Times New Roman" w:eastAsia="Calibri" w:hAnsi="Times New Roman" w:cs="Times New Roman"/>
          <w:sz w:val="20"/>
          <w:szCs w:val="24"/>
        </w:rPr>
      </w:pPr>
      <w:r>
        <w:rPr>
          <w:rFonts w:ascii="Times New Roman" w:eastAsia="Calibri" w:hAnsi="Times New Roman" w:cs="Times New Roman"/>
          <w:sz w:val="20"/>
          <w:szCs w:val="24"/>
        </w:rPr>
        <w:t>Status:  Active</w:t>
      </w:r>
    </w:p>
    <w:p w:rsidR="007861AA" w:rsidRPr="00AF65E7" w:rsidRDefault="007861AA" w:rsidP="00E07C00">
      <w:pPr>
        <w:pStyle w:val="NoSpacing"/>
        <w:rPr>
          <w:rFonts w:ascii="Times New Roman" w:eastAsia="Calibri" w:hAnsi="Times New Roman" w:cs="Times New Roman"/>
          <w:sz w:val="20"/>
          <w:szCs w:val="24"/>
        </w:rPr>
      </w:pPr>
      <w:r w:rsidRPr="00AF65E7">
        <w:rPr>
          <w:rFonts w:ascii="Times New Roman" w:eastAsia="Calibri" w:hAnsi="Times New Roman" w:cs="Times New Roman"/>
          <w:sz w:val="20"/>
          <w:szCs w:val="24"/>
        </w:rPr>
        <w:t xml:space="preserve">Approved By: </w:t>
      </w:r>
      <w:r w:rsidR="00B528D8">
        <w:rPr>
          <w:rFonts w:ascii="Times New Roman" w:eastAsia="Calibri" w:hAnsi="Times New Roman" w:cs="Times New Roman"/>
          <w:sz w:val="20"/>
          <w:szCs w:val="24"/>
        </w:rPr>
        <w:t>Andrew Rogerson, Chancellor</w:t>
      </w:r>
    </w:p>
    <w:p w:rsidR="007861AA" w:rsidRDefault="00B528D8" w:rsidP="00AF65E7">
      <w:pPr>
        <w:pStyle w:val="NoSpacing"/>
        <w:rPr>
          <w:rFonts w:ascii="Times New Roman" w:eastAsia="Calibri" w:hAnsi="Times New Roman" w:cs="Times New Roman"/>
          <w:sz w:val="20"/>
          <w:szCs w:val="24"/>
        </w:rPr>
      </w:pPr>
      <w:r>
        <w:rPr>
          <w:rFonts w:ascii="Times New Roman" w:eastAsia="Calibri" w:hAnsi="Times New Roman" w:cs="Times New Roman"/>
          <w:sz w:val="20"/>
          <w:szCs w:val="24"/>
        </w:rPr>
        <w:t xml:space="preserve">Originator:  </w:t>
      </w:r>
      <w:r w:rsidR="003B0509" w:rsidRPr="003B0509">
        <w:rPr>
          <w:rFonts w:ascii="Times New Roman" w:eastAsia="Calibri" w:hAnsi="Times New Roman" w:cs="Times New Roman"/>
          <w:sz w:val="20"/>
          <w:szCs w:val="24"/>
        </w:rPr>
        <w:t>Office of Title IX</w:t>
      </w:r>
    </w:p>
    <w:p w:rsidR="00B528D8" w:rsidRPr="003B0509" w:rsidRDefault="00B528D8" w:rsidP="00AF65E7">
      <w:pPr>
        <w:pStyle w:val="NoSpacing"/>
        <w:rPr>
          <w:rFonts w:ascii="Times New Roman" w:eastAsia="Calibri" w:hAnsi="Times New Roman" w:cs="Times New Roman"/>
          <w:sz w:val="20"/>
          <w:szCs w:val="24"/>
        </w:rPr>
      </w:pPr>
      <w:r>
        <w:rPr>
          <w:rFonts w:ascii="Times New Roman" w:eastAsia="Calibri" w:hAnsi="Times New Roman" w:cs="Times New Roman"/>
          <w:sz w:val="20"/>
          <w:szCs w:val="24"/>
        </w:rPr>
        <w:t xml:space="preserve">Custodian:  </w:t>
      </w:r>
      <w:r w:rsidR="003B0509" w:rsidRPr="003B0509">
        <w:rPr>
          <w:rFonts w:ascii="Times New Roman" w:eastAsia="Calibri" w:hAnsi="Times New Roman" w:cs="Times New Roman"/>
          <w:sz w:val="20"/>
          <w:szCs w:val="24"/>
        </w:rPr>
        <w:t>Office of Title IX</w:t>
      </w:r>
    </w:p>
    <w:sectPr w:rsidR="00B528D8" w:rsidRPr="003B0509" w:rsidSect="005A1526">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C5" w:rsidRDefault="00AC37C5" w:rsidP="007E154E">
      <w:r>
        <w:separator/>
      </w:r>
    </w:p>
  </w:endnote>
  <w:endnote w:type="continuationSeparator" w:id="0">
    <w:p w:rsidR="00AC37C5" w:rsidRDefault="00AC37C5" w:rsidP="007E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733762"/>
      <w:docPartObj>
        <w:docPartGallery w:val="Page Numbers (Bottom of Page)"/>
        <w:docPartUnique/>
      </w:docPartObj>
    </w:sdtPr>
    <w:sdtEndPr>
      <w:rPr>
        <w:noProof/>
      </w:rPr>
    </w:sdtEndPr>
    <w:sdtContent>
      <w:p w:rsidR="00EA7976" w:rsidRDefault="00EA7976">
        <w:pPr>
          <w:pStyle w:val="Footer"/>
          <w:jc w:val="right"/>
        </w:pPr>
        <w:r>
          <w:fldChar w:fldCharType="begin"/>
        </w:r>
        <w:r>
          <w:instrText xml:space="preserve"> PAGE   \* MERGEFORMAT </w:instrText>
        </w:r>
        <w:r>
          <w:fldChar w:fldCharType="separate"/>
        </w:r>
        <w:r w:rsidR="003B0509">
          <w:rPr>
            <w:noProof/>
          </w:rPr>
          <w:t>3</w:t>
        </w:r>
        <w:r>
          <w:rPr>
            <w:noProof/>
          </w:rPr>
          <w:fldChar w:fldCharType="end"/>
        </w:r>
      </w:p>
    </w:sdtContent>
  </w:sdt>
  <w:p w:rsidR="007E154E" w:rsidRDefault="007E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C5" w:rsidRDefault="00AC37C5" w:rsidP="007E154E">
      <w:r>
        <w:separator/>
      </w:r>
    </w:p>
  </w:footnote>
  <w:footnote w:type="continuationSeparator" w:id="0">
    <w:p w:rsidR="00AC37C5" w:rsidRDefault="00AC37C5" w:rsidP="007E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69"/>
    <w:multiLevelType w:val="multilevel"/>
    <w:tmpl w:val="5302C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2FE0"/>
    <w:multiLevelType w:val="multilevel"/>
    <w:tmpl w:val="BA5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373DB"/>
    <w:multiLevelType w:val="multilevel"/>
    <w:tmpl w:val="E59C29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D16A7E"/>
    <w:multiLevelType w:val="multilevel"/>
    <w:tmpl w:val="433C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46049"/>
    <w:multiLevelType w:val="hybridMultilevel"/>
    <w:tmpl w:val="DD9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1932"/>
    <w:multiLevelType w:val="multilevel"/>
    <w:tmpl w:val="8592A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279E3"/>
    <w:multiLevelType w:val="hybridMultilevel"/>
    <w:tmpl w:val="887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971C3"/>
    <w:multiLevelType w:val="multilevel"/>
    <w:tmpl w:val="333CE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905BE"/>
    <w:multiLevelType w:val="hybridMultilevel"/>
    <w:tmpl w:val="098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013CC"/>
    <w:multiLevelType w:val="multilevel"/>
    <w:tmpl w:val="35E86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9291D"/>
    <w:multiLevelType w:val="multilevel"/>
    <w:tmpl w:val="ECB0D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B58CF"/>
    <w:multiLevelType w:val="multilevel"/>
    <w:tmpl w:val="B1545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C60CA"/>
    <w:multiLevelType w:val="multilevel"/>
    <w:tmpl w:val="684A46F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8A7962"/>
    <w:multiLevelType w:val="hybridMultilevel"/>
    <w:tmpl w:val="F0741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BF5D33"/>
    <w:multiLevelType w:val="multilevel"/>
    <w:tmpl w:val="50DA3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D49CC"/>
    <w:multiLevelType w:val="multilevel"/>
    <w:tmpl w:val="A6E8A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D1A07"/>
    <w:multiLevelType w:val="hybridMultilevel"/>
    <w:tmpl w:val="46C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90FB2"/>
    <w:multiLevelType w:val="multilevel"/>
    <w:tmpl w:val="ACEA0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A4786"/>
    <w:multiLevelType w:val="multilevel"/>
    <w:tmpl w:val="20DAD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13ABD"/>
    <w:multiLevelType w:val="multilevel"/>
    <w:tmpl w:val="2C901D50"/>
    <w:lvl w:ilvl="0">
      <w:start w:val="3"/>
      <w:numFmt w:val="lowerLetter"/>
      <w:lvlText w:val="%1."/>
      <w:lvlJc w:val="left"/>
      <w:pPr>
        <w:ind w:left="360" w:hanging="360"/>
      </w:pPr>
    </w:lvl>
    <w:lvl w:ilvl="1">
      <w:start w:val="4"/>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16"/>
  </w:num>
  <w:num w:numId="4">
    <w:abstractNumId w:val="6"/>
  </w:num>
  <w:num w:numId="5">
    <w:abstractNumId w:val="8"/>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0"/>
  </w:num>
  <w:num w:numId="13">
    <w:abstractNumId w:val="15"/>
  </w:num>
  <w:num w:numId="14">
    <w:abstractNumId w:val="7"/>
  </w:num>
  <w:num w:numId="15">
    <w:abstractNumId w:val="18"/>
  </w:num>
  <w:num w:numId="16">
    <w:abstractNumId w:val="17"/>
  </w:num>
  <w:num w:numId="17">
    <w:abstractNumId w:val="1"/>
  </w:num>
  <w:num w:numId="18">
    <w:abstractNumId w:val="9"/>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AA"/>
    <w:rsid w:val="00010D3B"/>
    <w:rsid w:val="000A2B2F"/>
    <w:rsid w:val="000D3A4F"/>
    <w:rsid w:val="00167712"/>
    <w:rsid w:val="001779A3"/>
    <w:rsid w:val="001A599B"/>
    <w:rsid w:val="00211BE6"/>
    <w:rsid w:val="00272847"/>
    <w:rsid w:val="00272A1E"/>
    <w:rsid w:val="00294768"/>
    <w:rsid w:val="00344526"/>
    <w:rsid w:val="00381DC2"/>
    <w:rsid w:val="003B0509"/>
    <w:rsid w:val="004228A2"/>
    <w:rsid w:val="004E3C48"/>
    <w:rsid w:val="005903D1"/>
    <w:rsid w:val="005A1526"/>
    <w:rsid w:val="005A281E"/>
    <w:rsid w:val="00674299"/>
    <w:rsid w:val="00681CF0"/>
    <w:rsid w:val="00687A89"/>
    <w:rsid w:val="006E0BC7"/>
    <w:rsid w:val="007278C3"/>
    <w:rsid w:val="0075439F"/>
    <w:rsid w:val="007861AA"/>
    <w:rsid w:val="007E154E"/>
    <w:rsid w:val="007E58F2"/>
    <w:rsid w:val="00860DF1"/>
    <w:rsid w:val="008A5F03"/>
    <w:rsid w:val="00934DCD"/>
    <w:rsid w:val="0097522B"/>
    <w:rsid w:val="009F1569"/>
    <w:rsid w:val="00A6358A"/>
    <w:rsid w:val="00AC37C5"/>
    <w:rsid w:val="00AF52E2"/>
    <w:rsid w:val="00AF65E7"/>
    <w:rsid w:val="00B528D8"/>
    <w:rsid w:val="00BF1C5C"/>
    <w:rsid w:val="00C3044D"/>
    <w:rsid w:val="00C6715E"/>
    <w:rsid w:val="00DB20CC"/>
    <w:rsid w:val="00DF3B65"/>
    <w:rsid w:val="00E07C00"/>
    <w:rsid w:val="00EA7976"/>
    <w:rsid w:val="00ED7235"/>
    <w:rsid w:val="00EF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F0DF"/>
  <w15:docId w15:val="{8BC4B9E1-CA2D-4F67-AD95-AEE61AB4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C3"/>
  </w:style>
  <w:style w:type="paragraph" w:styleId="Heading3">
    <w:name w:val="heading 3"/>
    <w:basedOn w:val="Normal"/>
    <w:link w:val="Heading3Char"/>
    <w:uiPriority w:val="9"/>
    <w:qFormat/>
    <w:rsid w:val="007861AA"/>
    <w:pPr>
      <w:pBdr>
        <w:bottom w:val="single" w:sz="4" w:space="0" w:color="C0C0C0"/>
      </w:pBdr>
      <w:spacing w:after="34" w:line="264" w:lineRule="atLeast"/>
      <w:outlineLvl w:val="2"/>
    </w:pPr>
    <w:rPr>
      <w:rFonts w:ascii="Trebuchet MS" w:eastAsia="Times New Roman" w:hAnsi="Trebuchet MS" w:cs="Times New Roman"/>
      <w:b/>
      <w:bCs/>
      <w:color w:val="6E2639"/>
      <w:sz w:val="41"/>
      <w:szCs w:val="41"/>
    </w:rPr>
  </w:style>
  <w:style w:type="paragraph" w:styleId="Heading5">
    <w:name w:val="heading 5"/>
    <w:basedOn w:val="Normal"/>
    <w:next w:val="Normal"/>
    <w:link w:val="Heading5Char"/>
    <w:uiPriority w:val="9"/>
    <w:semiHidden/>
    <w:unhideWhenUsed/>
    <w:qFormat/>
    <w:rsid w:val="00C304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1AA"/>
    <w:rPr>
      <w:color w:val="0000FF" w:themeColor="hyperlink"/>
      <w:u w:val="single"/>
    </w:rPr>
  </w:style>
  <w:style w:type="character" w:customStyle="1" w:styleId="Heading3Char">
    <w:name w:val="Heading 3 Char"/>
    <w:basedOn w:val="DefaultParagraphFont"/>
    <w:link w:val="Heading3"/>
    <w:uiPriority w:val="9"/>
    <w:rsid w:val="007861AA"/>
    <w:rPr>
      <w:rFonts w:ascii="Trebuchet MS" w:eastAsia="Times New Roman" w:hAnsi="Trebuchet MS" w:cs="Times New Roman"/>
      <w:b/>
      <w:bCs/>
      <w:color w:val="6E2639"/>
      <w:sz w:val="41"/>
      <w:szCs w:val="41"/>
    </w:rPr>
  </w:style>
  <w:style w:type="paragraph" w:styleId="NormalWeb">
    <w:name w:val="Normal (Web)"/>
    <w:basedOn w:val="Normal"/>
    <w:uiPriority w:val="99"/>
    <w:semiHidden/>
    <w:unhideWhenUsed/>
    <w:rsid w:val="007861AA"/>
    <w:pPr>
      <w:spacing w:after="360" w:line="308"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861AA"/>
    <w:pPr>
      <w:spacing w:after="200" w:line="276" w:lineRule="auto"/>
      <w:ind w:left="720"/>
      <w:contextualSpacing/>
    </w:pPr>
    <w:rPr>
      <w:lang w:bidi="en-US"/>
    </w:rPr>
  </w:style>
  <w:style w:type="table" w:customStyle="1" w:styleId="TableGrid1">
    <w:name w:val="Table Grid1"/>
    <w:basedOn w:val="TableNormal"/>
    <w:uiPriority w:val="59"/>
    <w:rsid w:val="00786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E154E"/>
    <w:pPr>
      <w:tabs>
        <w:tab w:val="center" w:pos="4680"/>
        <w:tab w:val="right" w:pos="9360"/>
      </w:tabs>
    </w:pPr>
  </w:style>
  <w:style w:type="character" w:customStyle="1" w:styleId="HeaderChar">
    <w:name w:val="Header Char"/>
    <w:basedOn w:val="DefaultParagraphFont"/>
    <w:link w:val="Header"/>
    <w:uiPriority w:val="99"/>
    <w:rsid w:val="007E154E"/>
  </w:style>
  <w:style w:type="paragraph" w:styleId="Footer">
    <w:name w:val="footer"/>
    <w:basedOn w:val="Normal"/>
    <w:link w:val="FooterChar"/>
    <w:uiPriority w:val="99"/>
    <w:unhideWhenUsed/>
    <w:rsid w:val="007E154E"/>
    <w:pPr>
      <w:tabs>
        <w:tab w:val="center" w:pos="4680"/>
        <w:tab w:val="right" w:pos="9360"/>
      </w:tabs>
    </w:pPr>
  </w:style>
  <w:style w:type="character" w:customStyle="1" w:styleId="FooterChar">
    <w:name w:val="Footer Char"/>
    <w:basedOn w:val="DefaultParagraphFont"/>
    <w:link w:val="Footer"/>
    <w:uiPriority w:val="99"/>
    <w:rsid w:val="007E154E"/>
  </w:style>
  <w:style w:type="paragraph" w:styleId="NoSpacing">
    <w:name w:val="No Spacing"/>
    <w:uiPriority w:val="1"/>
    <w:qFormat/>
    <w:rsid w:val="00E07C00"/>
  </w:style>
  <w:style w:type="paragraph" w:styleId="BalloonText">
    <w:name w:val="Balloon Text"/>
    <w:basedOn w:val="Normal"/>
    <w:link w:val="BalloonTextChar"/>
    <w:uiPriority w:val="99"/>
    <w:semiHidden/>
    <w:unhideWhenUsed/>
    <w:rsid w:val="00C3044D"/>
    <w:rPr>
      <w:rFonts w:ascii="Tahoma" w:hAnsi="Tahoma" w:cs="Tahoma"/>
      <w:sz w:val="16"/>
      <w:szCs w:val="16"/>
    </w:rPr>
  </w:style>
  <w:style w:type="character" w:customStyle="1" w:styleId="BalloonTextChar">
    <w:name w:val="Balloon Text Char"/>
    <w:basedOn w:val="DefaultParagraphFont"/>
    <w:link w:val="BalloonText"/>
    <w:uiPriority w:val="99"/>
    <w:semiHidden/>
    <w:rsid w:val="00C3044D"/>
    <w:rPr>
      <w:rFonts w:ascii="Tahoma" w:hAnsi="Tahoma" w:cs="Tahoma"/>
      <w:sz w:val="16"/>
      <w:szCs w:val="16"/>
    </w:rPr>
  </w:style>
  <w:style w:type="character" w:customStyle="1" w:styleId="Heading5Char">
    <w:name w:val="Heading 5 Char"/>
    <w:basedOn w:val="DefaultParagraphFont"/>
    <w:link w:val="Heading5"/>
    <w:uiPriority w:val="9"/>
    <w:semiHidden/>
    <w:rsid w:val="00C3044D"/>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860DF1"/>
    <w:rPr>
      <w:sz w:val="20"/>
      <w:szCs w:val="20"/>
    </w:rPr>
  </w:style>
  <w:style w:type="character" w:customStyle="1" w:styleId="FootnoteTextChar">
    <w:name w:val="Footnote Text Char"/>
    <w:basedOn w:val="DefaultParagraphFont"/>
    <w:link w:val="FootnoteText"/>
    <w:uiPriority w:val="99"/>
    <w:semiHidden/>
    <w:rsid w:val="00860DF1"/>
    <w:rPr>
      <w:sz w:val="20"/>
      <w:szCs w:val="20"/>
    </w:rPr>
  </w:style>
  <w:style w:type="character" w:styleId="FootnoteReference">
    <w:name w:val="footnote reference"/>
    <w:basedOn w:val="DefaultParagraphFont"/>
    <w:uiPriority w:val="99"/>
    <w:semiHidden/>
    <w:unhideWhenUsed/>
    <w:rsid w:val="00860DF1"/>
    <w:rPr>
      <w:vertAlign w:val="superscript"/>
    </w:rPr>
  </w:style>
  <w:style w:type="paragraph" w:customStyle="1" w:styleId="m-5206225504251839412default">
    <w:name w:val="m_-5206225504251839412default"/>
    <w:basedOn w:val="Normal"/>
    <w:rsid w:val="003B0509"/>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3B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396">
      <w:bodyDiv w:val="1"/>
      <w:marLeft w:val="0"/>
      <w:marRight w:val="0"/>
      <w:marTop w:val="0"/>
      <w:marBottom w:val="0"/>
      <w:divBdr>
        <w:top w:val="none" w:sz="0" w:space="0" w:color="auto"/>
        <w:left w:val="none" w:sz="0" w:space="0" w:color="auto"/>
        <w:bottom w:val="none" w:sz="0" w:space="0" w:color="auto"/>
        <w:right w:val="none" w:sz="0" w:space="0" w:color="auto"/>
      </w:divBdr>
    </w:div>
    <w:div w:id="322515001">
      <w:bodyDiv w:val="1"/>
      <w:marLeft w:val="0"/>
      <w:marRight w:val="0"/>
      <w:marTop w:val="0"/>
      <w:marBottom w:val="0"/>
      <w:divBdr>
        <w:top w:val="none" w:sz="0" w:space="0" w:color="auto"/>
        <w:left w:val="none" w:sz="0" w:space="0" w:color="auto"/>
        <w:bottom w:val="none" w:sz="0" w:space="0" w:color="auto"/>
        <w:right w:val="none" w:sz="0" w:space="0" w:color="auto"/>
      </w:divBdr>
      <w:divsChild>
        <w:div w:id="271864004">
          <w:marLeft w:val="0"/>
          <w:marRight w:val="0"/>
          <w:marTop w:val="0"/>
          <w:marBottom w:val="0"/>
          <w:divBdr>
            <w:top w:val="none" w:sz="0" w:space="0" w:color="auto"/>
            <w:left w:val="none" w:sz="0" w:space="0" w:color="auto"/>
            <w:bottom w:val="none" w:sz="0" w:space="0" w:color="auto"/>
            <w:right w:val="none" w:sz="0" w:space="0" w:color="auto"/>
          </w:divBdr>
          <w:divsChild>
            <w:div w:id="2123958927">
              <w:marLeft w:val="34"/>
              <w:marRight w:val="0"/>
              <w:marTop w:val="0"/>
              <w:marBottom w:val="113"/>
              <w:divBdr>
                <w:top w:val="none" w:sz="0" w:space="0" w:color="auto"/>
                <w:left w:val="none" w:sz="0" w:space="0" w:color="auto"/>
                <w:bottom w:val="none" w:sz="0" w:space="0" w:color="auto"/>
                <w:right w:val="none" w:sz="0" w:space="0" w:color="auto"/>
              </w:divBdr>
              <w:divsChild>
                <w:div w:id="49816845">
                  <w:marLeft w:val="0"/>
                  <w:marRight w:val="0"/>
                  <w:marTop w:val="0"/>
                  <w:marBottom w:val="170"/>
                  <w:divBdr>
                    <w:top w:val="none" w:sz="0" w:space="0" w:color="auto"/>
                    <w:left w:val="none" w:sz="0" w:space="0" w:color="auto"/>
                    <w:bottom w:val="none" w:sz="0" w:space="0" w:color="auto"/>
                    <w:right w:val="none" w:sz="0" w:space="0" w:color="auto"/>
                  </w:divBdr>
                  <w:divsChild>
                    <w:div w:id="12650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4477">
      <w:bodyDiv w:val="1"/>
      <w:marLeft w:val="0"/>
      <w:marRight w:val="0"/>
      <w:marTop w:val="0"/>
      <w:marBottom w:val="0"/>
      <w:divBdr>
        <w:top w:val="none" w:sz="0" w:space="0" w:color="auto"/>
        <w:left w:val="none" w:sz="0" w:space="0" w:color="auto"/>
        <w:bottom w:val="none" w:sz="0" w:space="0" w:color="auto"/>
        <w:right w:val="none" w:sz="0" w:space="0" w:color="auto"/>
      </w:divBdr>
    </w:div>
    <w:div w:id="9373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policy/title-ix-form/" TargetMode="External"/><Relationship Id="rId13" Type="http://schemas.openxmlformats.org/officeDocument/2006/relationships/hyperlink" Target="https://ualr.edu/policy/title-ix-form/" TargetMode="External"/><Relationship Id="rId18" Type="http://schemas.openxmlformats.org/officeDocument/2006/relationships/hyperlink" Target="https://humanservices.arkansas.gov/about-dhs/dcfs/programs-services/child-protective-services-how-to-report-child-abuse-or-negle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ed.gov/about/offices/list/ocr/docs/tix_dis.html" TargetMode="External"/><Relationship Id="rId7" Type="http://schemas.openxmlformats.org/officeDocument/2006/relationships/endnotes" Target="endnotes.xml"/><Relationship Id="rId12" Type="http://schemas.openxmlformats.org/officeDocument/2006/relationships/hyperlink" Target="https://ualr.edu/titleix/" TargetMode="External"/><Relationship Id="rId17" Type="http://schemas.openxmlformats.org/officeDocument/2006/relationships/hyperlink" Target="mailto:rsgrotjohn@ualr.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strange@ualr.edu" TargetMode="External"/><Relationship Id="rId20" Type="http://schemas.openxmlformats.org/officeDocument/2006/relationships/hyperlink" Target="http://ualr.edu/policy/title-ix-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ualr.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harper@ualr.edu" TargetMode="External"/><Relationship Id="rId23" Type="http://schemas.openxmlformats.org/officeDocument/2006/relationships/hyperlink" Target="https://www.nsf.gov/od/odi/harassment.jsp" TargetMode="External"/><Relationship Id="rId10" Type="http://schemas.openxmlformats.org/officeDocument/2006/relationships/hyperlink" Target="mailto:lwdavis@ualr.edu" TargetMode="External"/><Relationship Id="rId19" Type="http://schemas.openxmlformats.org/officeDocument/2006/relationships/hyperlink" Target="http://ualr.edu/titleix/" TargetMode="External"/><Relationship Id="rId4" Type="http://schemas.openxmlformats.org/officeDocument/2006/relationships/settings" Target="settings.xml"/><Relationship Id="rId9" Type="http://schemas.openxmlformats.org/officeDocument/2006/relationships/hyperlink" Target="http://ualr.edu/policy/files/2014/08/Title-IX-Policy_082015_Revisions_060716.pdf" TargetMode="External"/><Relationship Id="rId14" Type="http://schemas.openxmlformats.org/officeDocument/2006/relationships/hyperlink" Target="mailto:knbaker@ualr.edu" TargetMode="External"/><Relationship Id="rId22"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F6CC-2960-492F-9DDF-E0D48694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11409</Words>
  <Characters>65034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Oliverio</dc:creator>
  <cp:keywords/>
  <dc:description/>
  <cp:lastModifiedBy>Kesha Robinson</cp:lastModifiedBy>
  <cp:revision>2</cp:revision>
  <cp:lastPrinted>2019-09-18T16:07:00Z</cp:lastPrinted>
  <dcterms:created xsi:type="dcterms:W3CDTF">2019-11-13T21:29:00Z</dcterms:created>
  <dcterms:modified xsi:type="dcterms:W3CDTF">2019-11-13T21:29:00Z</dcterms:modified>
</cp:coreProperties>
</file>